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 w:afterLines="50" w:line="560" w:lineRule="exact"/>
        <w:ind w:firstLine="640" w:firstLineChars="200"/>
        <w:jc w:val="center"/>
        <w:rPr>
          <w:rFonts w:ascii="Times New Roman" w:hAnsi="Times New Roman" w:eastAsia="方正黑体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方正黑体_GBK"/>
          <w:sz w:val="32"/>
          <w:szCs w:val="32"/>
        </w:rPr>
        <w:t>市人力资源和社会保障局跨部门监管计划</w:t>
      </w:r>
    </w:p>
    <w:bookmarkEnd w:id="0"/>
    <w:tbl>
      <w:tblPr>
        <w:tblStyle w:val="5"/>
        <w:tblW w:w="47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10"/>
        <w:gridCol w:w="795"/>
        <w:gridCol w:w="765"/>
        <w:gridCol w:w="4242"/>
        <w:gridCol w:w="990"/>
        <w:gridCol w:w="795"/>
        <w:gridCol w:w="690"/>
        <w:gridCol w:w="900"/>
        <w:gridCol w:w="88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Align w:val="center"/>
          </w:tcPr>
          <w:p>
            <w:pPr>
              <w:pStyle w:val="3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任务  名称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查  领域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发起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 xml:space="preserve">  部门</w:t>
            </w:r>
          </w:p>
        </w:tc>
        <w:tc>
          <w:tcPr>
            <w:tcW w:w="4243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事项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参与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  对象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  方式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 xml:space="preserve">  数量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  频次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  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4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工程建设领域劳动用工工资支付情况监管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tabs>
                <w:tab w:val="left" w:pos="308"/>
              </w:tabs>
              <w:spacing w:line="400" w:lineRule="exact"/>
              <w:ind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工程建设领域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市人社局</w:t>
            </w:r>
          </w:p>
        </w:tc>
        <w:tc>
          <w:tcPr>
            <w:tcW w:w="4243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对劳动用工管理情况的行政检查；社会保险稽核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市建委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建筑项目施工企业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现场检查、网络检查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74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人力资源市场综合监管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人力资源市场监管领域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市人社局</w:t>
            </w:r>
          </w:p>
        </w:tc>
        <w:tc>
          <w:tcPr>
            <w:tcW w:w="4243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对人力资源服务机构从事职业中介活动的行政检查；对经营性人力资源服务机构设立分支机构、办理变更或注销登记情况的行政检查；对经营性人力资源服务机构从事特定业务的行政检查；对经营性人力资源服务机构的行政检查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市市场监管局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鼓楼区经营性人力资源服务机构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市区（跨层级）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10" w:hRule="atLeast"/>
          <w:jc w:val="center"/>
        </w:trPr>
        <w:tc>
          <w:tcPr>
            <w:tcW w:w="74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劳务派遣单位监管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人力资源市场监管领域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市人社局</w:t>
            </w:r>
          </w:p>
        </w:tc>
        <w:tc>
          <w:tcPr>
            <w:tcW w:w="4243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对劳务派遣单位经营劳务派遣业务情况的行政检查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line="400" w:lineRule="exact"/>
              <w:ind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市市场监管局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建邺区已取得劳务派遣经营许可证的企业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spacing w:line="400" w:lineRule="exact"/>
              <w:ind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市区（跨层级）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76" w:hRule="atLeast"/>
          <w:jc w:val="center"/>
        </w:trPr>
        <w:tc>
          <w:tcPr>
            <w:tcW w:w="74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职业培训教育情况监管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职业教育领域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市人社局</w:t>
            </w:r>
          </w:p>
        </w:tc>
        <w:tc>
          <w:tcPr>
            <w:tcW w:w="4243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对技工院校设立、分立、合并、变更及终止违规行为的行政检查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line="400" w:lineRule="exact"/>
              <w:ind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市消防支队</w:t>
            </w:r>
          </w:p>
        </w:tc>
        <w:tc>
          <w:tcPr>
            <w:tcW w:w="79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技工院校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spacing w:line="400" w:lineRule="exact"/>
              <w:ind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ljMDg1NjEzNzY3NWY3M2MzYzFiODE5NjM4ZTQifQ=="/>
  </w:docVars>
  <w:rsids>
    <w:rsidRoot w:val="572E7F67"/>
    <w:rsid w:val="572E7F67"/>
    <w:rsid w:val="5A1866DC"/>
    <w:rsid w:val="77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2024-04-25T08:44:00Z</dcterms:created>
  <dc:creator>天下布武</dc:creator>
  <cp:lastModifiedBy>天下布武</cp:lastModifiedBy>
  <dcterms:modified xsi:type="dcterms:W3CDTF">2024-04-25T08:49:26Z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3CC8A21AC7BA4442856947F1C6274521_11</vt:lpwstr>
  </property>
</Properties>
</file>