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200" w:rsidRDefault="00E56FB7" w:rsidP="00E435E4">
      <w:pPr>
        <w:pStyle w:val="1"/>
        <w:spacing w:before="0" w:after="0" w:line="700" w:lineRule="exact"/>
        <w:jc w:val="center"/>
        <w:rPr>
          <w:rFonts w:ascii="方正小标宋_GBK" w:eastAsia="方正小标宋_GBK" w:hAnsi="Times New Roman" w:cs="Times New Roman"/>
          <w:b w:val="0"/>
          <w:bCs w:val="0"/>
          <w:color w:val="000000" w:themeColor="text1"/>
          <w:kern w:val="2"/>
          <w:sz w:val="44"/>
          <w:szCs w:val="44"/>
        </w:rPr>
      </w:pPr>
      <w:r w:rsidRPr="00E56FB7">
        <w:rPr>
          <w:rFonts w:ascii="Times New Roman" w:eastAsia="方正小标宋_GBK" w:hAnsi="Times New Roman" w:cs="Times New Roman"/>
          <w:b w:val="0"/>
          <w:bCs w:val="0"/>
          <w:color w:val="000000" w:themeColor="text1"/>
          <w:kern w:val="2"/>
          <w:sz w:val="44"/>
          <w:szCs w:val="44"/>
        </w:rPr>
        <w:t>2024</w:t>
      </w:r>
      <w:r>
        <w:rPr>
          <w:rFonts w:ascii="方正小标宋_GBK" w:eastAsia="方正小标宋_GBK" w:hAnsi="Times New Roman" w:cs="Times New Roman" w:hint="eastAsia"/>
          <w:b w:val="0"/>
          <w:bCs w:val="0"/>
          <w:color w:val="000000" w:themeColor="text1"/>
          <w:kern w:val="2"/>
          <w:sz w:val="44"/>
          <w:szCs w:val="44"/>
        </w:rPr>
        <w:t>年度</w:t>
      </w:r>
      <w:r w:rsidR="001F0475">
        <w:rPr>
          <w:rFonts w:ascii="方正小标宋_GBK" w:eastAsia="方正小标宋_GBK" w:hAnsi="Times New Roman" w:cs="Times New Roman"/>
          <w:b w:val="0"/>
          <w:bCs w:val="0"/>
          <w:color w:val="000000" w:themeColor="text1"/>
          <w:kern w:val="2"/>
          <w:sz w:val="44"/>
          <w:szCs w:val="44"/>
        </w:rPr>
        <w:t>全民数字素养与技能培训基地</w:t>
      </w:r>
      <w:r>
        <w:rPr>
          <w:rFonts w:ascii="方正小标宋_GBK" w:eastAsia="方正小标宋_GBK" w:hAnsi="Times New Roman" w:cs="Times New Roman" w:hint="eastAsia"/>
          <w:b w:val="0"/>
          <w:bCs w:val="0"/>
          <w:color w:val="000000" w:themeColor="text1"/>
          <w:kern w:val="2"/>
          <w:sz w:val="44"/>
          <w:szCs w:val="44"/>
        </w:rPr>
        <w:t xml:space="preserve">          </w:t>
      </w:r>
      <w:r w:rsidR="001F0475">
        <w:rPr>
          <w:rFonts w:ascii="方正小标宋_GBK" w:eastAsia="方正小标宋_GBK" w:hAnsi="Times New Roman" w:cs="Times New Roman"/>
          <w:b w:val="0"/>
          <w:bCs w:val="0"/>
          <w:color w:val="000000" w:themeColor="text1"/>
          <w:kern w:val="2"/>
          <w:sz w:val="44"/>
          <w:szCs w:val="44"/>
        </w:rPr>
        <w:t>绩效自评价报告</w:t>
      </w:r>
    </w:p>
    <w:p w:rsidR="00E435E4" w:rsidRPr="00E435E4" w:rsidRDefault="00E435E4" w:rsidP="00E435E4">
      <w:pPr>
        <w:rPr>
          <w:rFonts w:hint="eastAsia"/>
        </w:rPr>
      </w:pPr>
    </w:p>
    <w:p w:rsidR="005D4200" w:rsidRDefault="001F0475">
      <w:pPr>
        <w:pStyle w:val="2"/>
        <w:spacing w:before="0" w:after="0" w:line="300" w:lineRule="auto"/>
        <w:ind w:firstLineChars="200" w:firstLine="640"/>
        <w:rPr>
          <w:rFonts w:ascii="Times New Roman" w:eastAsia="方正黑体_GBK" w:hAnsi="Times New Roman" w:cs="Times New Roman"/>
          <w:b w:val="0"/>
          <w:bCs w:val="0"/>
          <w:color w:val="000000" w:themeColor="text1"/>
          <w:kern w:val="2"/>
        </w:rPr>
      </w:pPr>
      <w:r>
        <w:rPr>
          <w:rFonts w:ascii="Times New Roman" w:eastAsia="方正黑体_GBK" w:hAnsi="Times New Roman" w:cs="Times New Roman"/>
          <w:b w:val="0"/>
          <w:bCs w:val="0"/>
          <w:color w:val="000000" w:themeColor="text1"/>
          <w:kern w:val="2"/>
        </w:rPr>
        <w:t>一、</w:t>
      </w:r>
      <w:r>
        <w:rPr>
          <w:rFonts w:ascii="方正黑体_GBK" w:eastAsia="方正黑体_GBK" w:hAnsi="黑体" w:cs="Times New Roman"/>
          <w:b w:val="0"/>
          <w:bCs w:val="0"/>
          <w:color w:val="000000" w:themeColor="text1"/>
          <w:kern w:val="2"/>
        </w:rPr>
        <w:t>项目概况</w:t>
      </w:r>
    </w:p>
    <w:p w:rsidR="005D4200" w:rsidRDefault="001F0475">
      <w:pPr>
        <w:pStyle w:val="2"/>
        <w:spacing w:before="0" w:after="0" w:line="300" w:lineRule="auto"/>
        <w:ind w:firstLineChars="200" w:firstLine="640"/>
        <w:rPr>
          <w:rFonts w:ascii="Times New Roman" w:eastAsia="方正楷体_GBK" w:hAnsi="Times New Roman" w:cs="Times New Roman"/>
          <w:color w:val="000000" w:themeColor="text1"/>
          <w:kern w:val="2"/>
        </w:rPr>
      </w:pPr>
      <w:r>
        <w:rPr>
          <w:rFonts w:ascii="Times New Roman" w:eastAsia="方正楷体_GBK" w:hAnsi="Times New Roman" w:cs="Times New Roman"/>
          <w:b w:val="0"/>
          <w:bCs w:val="0"/>
          <w:color w:val="000000" w:themeColor="text1"/>
          <w:kern w:val="2"/>
        </w:rPr>
        <w:t>（一）项目基本情况</w:t>
      </w:r>
    </w:p>
    <w:p w:rsidR="005D4200" w:rsidRDefault="001F0475">
      <w:pPr>
        <w:pStyle w:val="Style13"/>
        <w:spacing w:before="0" w:after="0" w:line="300" w:lineRule="auto"/>
        <w:ind w:firstLineChars="200" w:firstLine="640"/>
        <w:rPr>
          <w:rFonts w:ascii="Times New Roman" w:eastAsia="方正仿宋_GBK" w:hAnsi="Times New Roman" w:cs="Times New Roman"/>
          <w:color w:val="000000" w:themeColor="text1"/>
          <w:kern w:val="2"/>
          <w:sz w:val="32"/>
          <w:szCs w:val="32"/>
        </w:rPr>
      </w:pPr>
      <w:r>
        <w:rPr>
          <w:rFonts w:ascii="Times New Roman" w:eastAsia="方正仿宋_GBK" w:hAnsi="Times New Roman" w:cs="Times New Roman"/>
          <w:color w:val="000000" w:themeColor="text1"/>
          <w:kern w:val="2"/>
          <w:sz w:val="32"/>
          <w:szCs w:val="32"/>
        </w:rPr>
        <w:t>为积极响应国家</w:t>
      </w:r>
      <w:r>
        <w:rPr>
          <w:rFonts w:ascii="Times New Roman" w:eastAsia="方正仿宋_GBK" w:hAnsi="Times New Roman" w:cs="Times New Roman" w:hint="eastAsia"/>
          <w:color w:val="000000" w:themeColor="text1"/>
          <w:kern w:val="2"/>
          <w:sz w:val="32"/>
          <w:szCs w:val="32"/>
        </w:rPr>
        <w:t>“</w:t>
      </w:r>
      <w:r>
        <w:rPr>
          <w:rFonts w:ascii="Times New Roman" w:eastAsia="方正仿宋_GBK" w:hAnsi="Times New Roman" w:cs="Times New Roman"/>
          <w:color w:val="000000" w:themeColor="text1"/>
          <w:kern w:val="2"/>
          <w:sz w:val="32"/>
          <w:szCs w:val="32"/>
        </w:rPr>
        <w:t>加强全民数字技能教育与培训</w:t>
      </w:r>
      <w:r>
        <w:rPr>
          <w:rFonts w:ascii="Times New Roman" w:eastAsia="方正仿宋_GBK" w:hAnsi="Times New Roman" w:cs="Times New Roman" w:hint="eastAsia"/>
          <w:color w:val="000000" w:themeColor="text1"/>
          <w:kern w:val="2"/>
          <w:sz w:val="32"/>
          <w:szCs w:val="32"/>
        </w:rPr>
        <w:t>”</w:t>
      </w:r>
      <w:r>
        <w:rPr>
          <w:rFonts w:ascii="Times New Roman" w:eastAsia="方正仿宋_GBK" w:hAnsi="Times New Roman" w:cs="Times New Roman"/>
          <w:color w:val="000000" w:themeColor="text1"/>
          <w:kern w:val="2"/>
          <w:sz w:val="32"/>
          <w:szCs w:val="32"/>
        </w:rPr>
        <w:t>的战略号召，南京技师学院依据</w:t>
      </w:r>
      <w:r>
        <w:rPr>
          <w:rFonts w:ascii="Times New Roman" w:eastAsia="方正仿宋_GBK" w:hAnsi="Times New Roman" w:cs="Times New Roman" w:hint="eastAsia"/>
          <w:color w:val="000000" w:themeColor="text1"/>
          <w:kern w:val="2"/>
          <w:sz w:val="32"/>
          <w:szCs w:val="32"/>
        </w:rPr>
        <w:t>《</w:t>
      </w:r>
      <w:r>
        <w:rPr>
          <w:rFonts w:ascii="Times New Roman" w:eastAsia="方正仿宋_GBK" w:hAnsi="Times New Roman" w:cs="Times New Roman"/>
          <w:color w:val="000000" w:themeColor="text1"/>
          <w:kern w:val="2"/>
          <w:sz w:val="32"/>
          <w:szCs w:val="32"/>
        </w:rPr>
        <w:t>中华人民共和国国民经济和社会发展第十四个五年规划和</w:t>
      </w:r>
      <w:r>
        <w:rPr>
          <w:rFonts w:ascii="Times New Roman" w:eastAsia="方正仿宋_GBK" w:hAnsi="Times New Roman" w:cs="Times New Roman"/>
          <w:color w:val="000000" w:themeColor="text1"/>
          <w:kern w:val="2"/>
          <w:sz w:val="32"/>
          <w:szCs w:val="32"/>
        </w:rPr>
        <w:t>2035</w:t>
      </w:r>
      <w:r>
        <w:rPr>
          <w:rFonts w:ascii="Times New Roman" w:eastAsia="方正仿宋_GBK" w:hAnsi="Times New Roman" w:cs="Times New Roman"/>
          <w:color w:val="000000" w:themeColor="text1"/>
          <w:kern w:val="2"/>
          <w:sz w:val="32"/>
          <w:szCs w:val="32"/>
        </w:rPr>
        <w:t>年远景目标纲要》，以及省网信办等十三部门联合发布的相关文件精神，全力申报建设</w:t>
      </w:r>
      <w:r>
        <w:rPr>
          <w:rFonts w:ascii="Times New Roman" w:eastAsia="方正仿宋_GBK" w:hAnsi="Times New Roman" w:cs="Times New Roman"/>
          <w:color w:val="000000" w:themeColor="text1"/>
          <w:kern w:val="2"/>
          <w:sz w:val="32"/>
          <w:szCs w:val="32"/>
        </w:rPr>
        <w:t xml:space="preserve"> “</w:t>
      </w:r>
      <w:r>
        <w:rPr>
          <w:rFonts w:ascii="Times New Roman" w:eastAsia="方正仿宋_GBK" w:hAnsi="Times New Roman" w:cs="Times New Roman"/>
          <w:color w:val="000000" w:themeColor="text1"/>
          <w:kern w:val="2"/>
          <w:sz w:val="32"/>
          <w:szCs w:val="32"/>
        </w:rPr>
        <w:t>全民数字素养与技能培训基地</w:t>
      </w:r>
      <w:r>
        <w:rPr>
          <w:rFonts w:ascii="Times New Roman" w:eastAsia="方正仿宋_GBK" w:hAnsi="Times New Roman" w:cs="Times New Roman"/>
          <w:color w:val="000000" w:themeColor="text1"/>
          <w:kern w:val="2"/>
          <w:sz w:val="32"/>
          <w:szCs w:val="32"/>
        </w:rPr>
        <w:t>”</w:t>
      </w:r>
      <w:r>
        <w:rPr>
          <w:rFonts w:ascii="Times New Roman" w:eastAsia="方正仿宋_GBK" w:hAnsi="Times New Roman" w:cs="Times New Roman"/>
          <w:color w:val="000000" w:themeColor="text1"/>
          <w:kern w:val="2"/>
          <w:sz w:val="32"/>
          <w:szCs w:val="32"/>
        </w:rPr>
        <w:t>。</w:t>
      </w:r>
    </w:p>
    <w:p w:rsidR="005D4200" w:rsidRDefault="001F0475">
      <w:pPr>
        <w:pStyle w:val="Style13"/>
        <w:spacing w:before="0" w:after="0" w:line="300" w:lineRule="auto"/>
        <w:ind w:firstLineChars="200" w:firstLine="640"/>
        <w:rPr>
          <w:rFonts w:ascii="Times New Roman" w:eastAsia="方正仿宋_GBK" w:hAnsi="Times New Roman" w:cs="Times New Roman"/>
          <w:color w:val="000000" w:themeColor="text1"/>
          <w:kern w:val="2"/>
          <w:sz w:val="32"/>
          <w:szCs w:val="32"/>
        </w:rPr>
      </w:pP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w:t>
      </w:r>
      <w:r>
        <w:rPr>
          <w:rFonts w:ascii="Times New Roman" w:eastAsia="方正仿宋_GBK" w:hAnsi="Times New Roman" w:cs="Times New Roman"/>
          <w:color w:val="000000" w:themeColor="text1"/>
          <w:sz w:val="32"/>
          <w:szCs w:val="32"/>
        </w:rPr>
        <w:t>1</w:t>
      </w:r>
      <w:r>
        <w:rPr>
          <w:rFonts w:ascii="Times New Roman" w:eastAsia="方正仿宋_GBK" w:hAnsi="Times New Roman" w:cs="Times New Roman"/>
          <w:color w:val="000000" w:themeColor="text1"/>
          <w:sz w:val="32"/>
          <w:szCs w:val="32"/>
        </w:rPr>
        <w:t>月，市财政局</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关于批复</w:t>
      </w: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年市级部门预算、重点项目预算、绩效目标的通知</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宁财预〔</w:t>
      </w: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w:t>
      </w:r>
      <w:r>
        <w:rPr>
          <w:rFonts w:ascii="Times New Roman" w:eastAsia="方正仿宋_GBK" w:hAnsi="Times New Roman" w:cs="Times New Roman"/>
          <w:color w:val="000000" w:themeColor="text1"/>
          <w:sz w:val="32"/>
          <w:szCs w:val="32"/>
        </w:rPr>
        <w:t>31</w:t>
      </w:r>
      <w:r>
        <w:rPr>
          <w:rFonts w:ascii="Times New Roman" w:eastAsia="方正仿宋_GBK" w:hAnsi="Times New Roman" w:cs="Times New Roman"/>
          <w:color w:val="000000" w:themeColor="text1"/>
          <w:sz w:val="32"/>
          <w:szCs w:val="32"/>
        </w:rPr>
        <w:t>号</w:t>
      </w:r>
      <w:r>
        <w:rPr>
          <w:rFonts w:ascii="Times New Roman" w:eastAsia="方正仿宋_GBK" w:hAnsi="Times New Roman" w:cs="Times New Roman" w:hint="eastAsia"/>
          <w:color w:val="000000" w:themeColor="text1"/>
          <w:sz w:val="32"/>
          <w:szCs w:val="32"/>
        </w:rPr>
        <w:t>）</w:t>
      </w:r>
      <w:r>
        <w:rPr>
          <w:rFonts w:ascii="Times New Roman" w:eastAsia="方正仿宋_GBK" w:hAnsi="Times New Roman" w:cs="Times New Roman"/>
          <w:color w:val="000000" w:themeColor="text1"/>
          <w:sz w:val="32"/>
          <w:szCs w:val="32"/>
        </w:rPr>
        <w:t>批复全民数字素养与技能培训实训基地项目准予实施。该项目共</w:t>
      </w:r>
      <w:r>
        <w:rPr>
          <w:rFonts w:ascii="Times New Roman" w:eastAsia="方正仿宋_GBK" w:hAnsi="Times New Roman" w:cs="Times New Roman"/>
          <w:color w:val="000000" w:themeColor="text1"/>
          <w:sz w:val="32"/>
          <w:szCs w:val="32"/>
        </w:rPr>
        <w:t>1160</w:t>
      </w:r>
      <w:r>
        <w:rPr>
          <w:rFonts w:ascii="Times New Roman" w:eastAsia="方正仿宋_GBK" w:hAnsi="Times New Roman" w:cs="Times New Roman"/>
          <w:color w:val="000000" w:themeColor="text1"/>
          <w:sz w:val="32"/>
          <w:szCs w:val="32"/>
        </w:rPr>
        <w:t>万元，规划期两年，其中</w:t>
      </w:r>
      <w:r>
        <w:rPr>
          <w:rFonts w:ascii="Times New Roman" w:eastAsia="方正仿宋_GBK" w:hAnsi="Times New Roman" w:cs="Times New Roman"/>
          <w:color w:val="000000" w:themeColor="text1"/>
          <w:sz w:val="32"/>
          <w:szCs w:val="32"/>
        </w:rPr>
        <w:t>2024</w:t>
      </w:r>
      <w:r>
        <w:rPr>
          <w:rFonts w:ascii="Times New Roman" w:eastAsia="方正仿宋_GBK" w:hAnsi="Times New Roman" w:cs="Times New Roman"/>
          <w:color w:val="000000" w:themeColor="text1"/>
          <w:sz w:val="32"/>
          <w:szCs w:val="32"/>
        </w:rPr>
        <w:t>年安排</w:t>
      </w:r>
      <w:r>
        <w:rPr>
          <w:rFonts w:ascii="Times New Roman" w:eastAsia="方正仿宋_GBK" w:hAnsi="Times New Roman" w:cs="Times New Roman"/>
          <w:color w:val="000000" w:themeColor="text1"/>
          <w:sz w:val="32"/>
          <w:szCs w:val="32"/>
        </w:rPr>
        <w:t>710</w:t>
      </w:r>
      <w:r>
        <w:rPr>
          <w:rFonts w:ascii="Times New Roman" w:eastAsia="方正仿宋_GBK" w:hAnsi="Times New Roman" w:cs="Times New Roman"/>
          <w:color w:val="000000" w:themeColor="text1"/>
          <w:sz w:val="32"/>
          <w:szCs w:val="32"/>
        </w:rPr>
        <w:t>万元，建设</w:t>
      </w:r>
      <w:r>
        <w:rPr>
          <w:rFonts w:ascii="Times New Roman" w:eastAsia="方正仿宋_GBK" w:hAnsi="Times New Roman" w:cs="Times New Roman"/>
          <w:color w:val="000000" w:themeColor="text1"/>
          <w:sz w:val="32"/>
          <w:szCs w:val="32"/>
        </w:rPr>
        <w:t>8</w:t>
      </w:r>
      <w:r>
        <w:rPr>
          <w:rFonts w:ascii="Times New Roman" w:eastAsia="方正仿宋_GBK" w:hAnsi="Times New Roman" w:cs="Times New Roman"/>
          <w:color w:val="000000" w:themeColor="text1"/>
          <w:sz w:val="32"/>
          <w:szCs w:val="32"/>
        </w:rPr>
        <w:t>个数字技能实训室，包括：电气自动化工学一体化实训室建设</w:t>
      </w:r>
      <w:r>
        <w:rPr>
          <w:rFonts w:ascii="Times New Roman" w:eastAsia="方正仿宋_GBK" w:hAnsi="Times New Roman" w:cs="Times New Roman"/>
          <w:color w:val="000000" w:themeColor="text1"/>
          <w:sz w:val="32"/>
          <w:szCs w:val="32"/>
        </w:rPr>
        <w:t>70</w:t>
      </w:r>
      <w:r>
        <w:rPr>
          <w:rFonts w:ascii="Times New Roman" w:eastAsia="方正仿宋_GBK" w:hAnsi="Times New Roman" w:cs="Times New Roman"/>
          <w:color w:val="000000" w:themeColor="text1"/>
          <w:sz w:val="32"/>
          <w:szCs w:val="32"/>
        </w:rPr>
        <w:t>万元、</w:t>
      </w:r>
      <w:r>
        <w:rPr>
          <w:rFonts w:ascii="Times New Roman" w:eastAsia="方正仿宋_GBK" w:hAnsi="Times New Roman" w:cs="Times New Roman"/>
          <w:color w:val="000000" w:themeColor="text1"/>
          <w:sz w:val="32"/>
          <w:szCs w:val="32"/>
        </w:rPr>
        <w:t xml:space="preserve"> </w:t>
      </w:r>
      <w:r>
        <w:rPr>
          <w:rFonts w:ascii="Times New Roman" w:eastAsia="方正仿宋_GBK" w:hAnsi="Times New Roman" w:cs="Times New Roman"/>
          <w:color w:val="000000" w:themeColor="text1"/>
          <w:sz w:val="32"/>
          <w:szCs w:val="32"/>
        </w:rPr>
        <w:t>城市水务技术（城乡污水处理）实训室建设</w:t>
      </w:r>
      <w:r>
        <w:rPr>
          <w:rFonts w:ascii="Times New Roman" w:eastAsia="方正仿宋_GBK" w:hAnsi="Times New Roman" w:cs="Times New Roman"/>
          <w:color w:val="000000" w:themeColor="text1"/>
          <w:sz w:val="32"/>
          <w:szCs w:val="32"/>
        </w:rPr>
        <w:t>128</w:t>
      </w:r>
      <w:r>
        <w:rPr>
          <w:rFonts w:ascii="Times New Roman" w:eastAsia="方正仿宋_GBK" w:hAnsi="Times New Roman" w:cs="Times New Roman"/>
          <w:color w:val="000000" w:themeColor="text1"/>
          <w:sz w:val="32"/>
          <w:szCs w:val="32"/>
        </w:rPr>
        <w:t>万元、智慧财税工学一体化实训室建设</w:t>
      </w:r>
      <w:r>
        <w:rPr>
          <w:rFonts w:ascii="Times New Roman" w:eastAsia="方正仿宋_GBK" w:hAnsi="Times New Roman" w:cs="Times New Roman"/>
          <w:color w:val="000000" w:themeColor="text1"/>
          <w:sz w:val="32"/>
          <w:szCs w:val="32"/>
        </w:rPr>
        <w:t>118</w:t>
      </w:r>
      <w:r>
        <w:rPr>
          <w:rFonts w:ascii="Times New Roman" w:eastAsia="方正仿宋_GBK" w:hAnsi="Times New Roman" w:cs="Times New Roman"/>
          <w:color w:val="000000" w:themeColor="text1"/>
          <w:sz w:val="32"/>
          <w:szCs w:val="32"/>
        </w:rPr>
        <w:t>万元、网络系统管理工学一体化实训室建设</w:t>
      </w:r>
      <w:r>
        <w:rPr>
          <w:rFonts w:ascii="Times New Roman" w:eastAsia="方正仿宋_GBK" w:hAnsi="Times New Roman" w:cs="Times New Roman"/>
          <w:color w:val="000000" w:themeColor="text1"/>
          <w:sz w:val="32"/>
          <w:szCs w:val="32"/>
        </w:rPr>
        <w:t>112</w:t>
      </w:r>
      <w:r>
        <w:rPr>
          <w:rFonts w:ascii="Times New Roman" w:eastAsia="方正仿宋_GBK" w:hAnsi="Times New Roman" w:cs="Times New Roman"/>
          <w:color w:val="000000" w:themeColor="text1"/>
          <w:sz w:val="32"/>
          <w:szCs w:val="32"/>
        </w:rPr>
        <w:t>万元、物联网安装调试员技能操作实训室建设</w:t>
      </w:r>
      <w:r>
        <w:rPr>
          <w:rFonts w:ascii="Times New Roman" w:eastAsia="方正仿宋_GBK" w:hAnsi="Times New Roman" w:cs="Times New Roman"/>
          <w:color w:val="000000" w:themeColor="text1"/>
          <w:sz w:val="32"/>
          <w:szCs w:val="32"/>
        </w:rPr>
        <w:t>40</w:t>
      </w:r>
      <w:r>
        <w:rPr>
          <w:rFonts w:ascii="Times New Roman" w:eastAsia="方正仿宋_GBK" w:hAnsi="Times New Roman" w:cs="Times New Roman"/>
          <w:color w:val="000000" w:themeColor="text1"/>
          <w:sz w:val="32"/>
          <w:szCs w:val="32"/>
        </w:rPr>
        <w:t>万元、工业机器人拆装及维修实训室建设</w:t>
      </w:r>
      <w:r>
        <w:rPr>
          <w:rFonts w:ascii="Times New Roman" w:eastAsia="方正仿宋_GBK" w:hAnsi="Times New Roman" w:cs="Times New Roman"/>
          <w:color w:val="000000" w:themeColor="text1"/>
          <w:sz w:val="32"/>
          <w:szCs w:val="32"/>
        </w:rPr>
        <w:t>30</w:t>
      </w:r>
      <w:r>
        <w:rPr>
          <w:rFonts w:ascii="Times New Roman" w:eastAsia="方正仿宋_GBK" w:hAnsi="Times New Roman" w:cs="Times New Roman"/>
          <w:color w:val="000000" w:themeColor="text1"/>
          <w:sz w:val="32"/>
          <w:szCs w:val="32"/>
        </w:rPr>
        <w:t>万元、智能焊接数字实训室建设</w:t>
      </w:r>
      <w:r>
        <w:rPr>
          <w:rFonts w:ascii="Times New Roman" w:eastAsia="方正仿宋_GBK" w:hAnsi="Times New Roman" w:cs="Times New Roman"/>
          <w:color w:val="000000" w:themeColor="text1"/>
          <w:sz w:val="32"/>
          <w:szCs w:val="32"/>
        </w:rPr>
        <w:t>60</w:t>
      </w:r>
      <w:r>
        <w:rPr>
          <w:rFonts w:ascii="Times New Roman" w:eastAsia="方正仿宋_GBK" w:hAnsi="Times New Roman" w:cs="Times New Roman"/>
          <w:color w:val="000000" w:themeColor="text1"/>
          <w:sz w:val="32"/>
          <w:szCs w:val="32"/>
        </w:rPr>
        <w:t>万元、</w:t>
      </w:r>
      <w:r>
        <w:rPr>
          <w:rFonts w:ascii="Times New Roman" w:eastAsia="方正仿宋_GBK" w:hAnsi="Times New Roman" w:cs="Times New Roman"/>
          <w:color w:val="000000" w:themeColor="text1"/>
          <w:sz w:val="32"/>
          <w:szCs w:val="32"/>
        </w:rPr>
        <w:t>3D</w:t>
      </w:r>
      <w:r>
        <w:rPr>
          <w:rFonts w:ascii="Times New Roman" w:eastAsia="方正仿宋_GBK" w:hAnsi="Times New Roman" w:cs="Times New Roman"/>
          <w:color w:val="000000" w:themeColor="text1"/>
          <w:sz w:val="32"/>
          <w:szCs w:val="32"/>
        </w:rPr>
        <w:t>数字设计实训室建设</w:t>
      </w:r>
      <w:r>
        <w:rPr>
          <w:rFonts w:ascii="Times New Roman" w:eastAsia="方正仿宋_GBK" w:hAnsi="Times New Roman" w:cs="Times New Roman"/>
          <w:color w:val="000000" w:themeColor="text1"/>
          <w:sz w:val="32"/>
          <w:szCs w:val="32"/>
        </w:rPr>
        <w:t>152</w:t>
      </w:r>
      <w:r>
        <w:rPr>
          <w:rFonts w:ascii="Times New Roman" w:eastAsia="方正仿宋_GBK" w:hAnsi="Times New Roman" w:cs="Times New Roman"/>
          <w:color w:val="000000" w:themeColor="text1"/>
          <w:sz w:val="32"/>
          <w:szCs w:val="32"/>
        </w:rPr>
        <w:t>万元。</w:t>
      </w:r>
      <w:r>
        <w:rPr>
          <w:rFonts w:ascii="Times New Roman" w:eastAsia="方正仿宋_GBK" w:hAnsi="Times New Roman" w:cs="Times New Roman"/>
          <w:color w:val="000000" w:themeColor="text1"/>
          <w:kern w:val="2"/>
          <w:sz w:val="32"/>
          <w:szCs w:val="32"/>
        </w:rPr>
        <w:t>覆盖先进制造、数字设计、网络技术等领域，旨在提升数字技能人才培训质效，弥补南京市紧缺工种人才缺口。</w:t>
      </w:r>
    </w:p>
    <w:p w:rsidR="005D4200" w:rsidRDefault="001F0475">
      <w:pPr>
        <w:pStyle w:val="2"/>
        <w:spacing w:before="0" w:after="0" w:line="300" w:lineRule="auto"/>
        <w:ind w:firstLineChars="200" w:firstLine="640"/>
        <w:rPr>
          <w:rFonts w:ascii="Times New Roman" w:eastAsia="方正楷体_GBK" w:hAnsi="Times New Roman" w:cs="Times New Roman"/>
          <w:color w:val="000000" w:themeColor="text1"/>
          <w:kern w:val="2"/>
        </w:rPr>
      </w:pPr>
      <w:r>
        <w:rPr>
          <w:rFonts w:ascii="Times New Roman" w:eastAsia="方正楷体_GBK" w:hAnsi="Times New Roman" w:cs="Times New Roman"/>
          <w:b w:val="0"/>
          <w:bCs w:val="0"/>
          <w:color w:val="000000" w:themeColor="text1"/>
          <w:kern w:val="2"/>
        </w:rPr>
        <w:t>（二）项目资金情况</w:t>
      </w:r>
    </w:p>
    <w:p w:rsidR="005D4200" w:rsidRDefault="001F0475">
      <w:pPr>
        <w:pStyle w:val="Style13"/>
        <w:spacing w:before="0" w:after="0" w:line="300" w:lineRule="auto"/>
        <w:ind w:firstLineChars="200" w:firstLine="640"/>
        <w:rPr>
          <w:rFonts w:ascii="Times New Roman" w:eastAsia="方正仿宋_GBK" w:hAnsi="Times New Roman" w:cs="Times New Roman"/>
          <w:color w:val="000000" w:themeColor="text1"/>
          <w:kern w:val="2"/>
          <w:sz w:val="32"/>
          <w:szCs w:val="32"/>
        </w:rPr>
      </w:pPr>
      <w:r>
        <w:rPr>
          <w:rFonts w:ascii="Times New Roman" w:eastAsia="方正仿宋_GBK" w:hAnsi="Times New Roman" w:cs="Times New Roman"/>
          <w:color w:val="000000" w:themeColor="text1"/>
          <w:kern w:val="2"/>
          <w:sz w:val="32"/>
          <w:szCs w:val="32"/>
        </w:rPr>
        <w:lastRenderedPageBreak/>
        <w:t xml:space="preserve">2024 </w:t>
      </w:r>
      <w:r>
        <w:rPr>
          <w:rFonts w:ascii="Times New Roman" w:eastAsia="方正仿宋_GBK" w:hAnsi="Times New Roman" w:cs="Times New Roman"/>
          <w:color w:val="000000" w:themeColor="text1"/>
          <w:kern w:val="2"/>
          <w:sz w:val="32"/>
          <w:szCs w:val="32"/>
        </w:rPr>
        <w:t>年度，</w:t>
      </w:r>
      <w:bookmarkStart w:id="0" w:name="OLE_LINK2"/>
      <w:r>
        <w:rPr>
          <w:rFonts w:ascii="Times New Roman" w:eastAsia="方正仿宋_GBK" w:hAnsi="Times New Roman" w:cs="Times New Roman"/>
          <w:color w:val="000000" w:themeColor="text1"/>
          <w:sz w:val="32"/>
          <w:szCs w:val="32"/>
        </w:rPr>
        <w:t>市财政原批复资金</w:t>
      </w:r>
      <w:r>
        <w:rPr>
          <w:rFonts w:ascii="Times New Roman" w:eastAsia="方正仿宋_GBK" w:hAnsi="Times New Roman" w:cs="Times New Roman"/>
          <w:color w:val="000000" w:themeColor="text1"/>
          <w:sz w:val="32"/>
          <w:szCs w:val="32"/>
        </w:rPr>
        <w:t>710</w:t>
      </w:r>
      <w:r>
        <w:rPr>
          <w:rFonts w:ascii="Times New Roman" w:eastAsia="方正仿宋_GBK" w:hAnsi="Times New Roman" w:cs="Times New Roman"/>
          <w:color w:val="000000" w:themeColor="text1"/>
          <w:sz w:val="32"/>
          <w:szCs w:val="32"/>
        </w:rPr>
        <w:t>万元，</w:t>
      </w:r>
      <w:bookmarkEnd w:id="0"/>
      <w:r>
        <w:rPr>
          <w:rFonts w:ascii="Times New Roman" w:eastAsia="方正仿宋_GBK" w:hAnsi="Times New Roman" w:cs="Times New Roman" w:hint="eastAsia"/>
          <w:color w:val="000000" w:themeColor="text1"/>
          <w:sz w:val="32"/>
          <w:szCs w:val="32"/>
        </w:rPr>
        <w:t>预算调整后</w:t>
      </w:r>
      <w:r>
        <w:rPr>
          <w:rFonts w:ascii="Times New Roman" w:eastAsia="方正仿宋_GBK" w:hAnsi="Times New Roman" w:cs="Times New Roman"/>
          <w:color w:val="000000" w:themeColor="text1"/>
          <w:sz w:val="32"/>
          <w:szCs w:val="32"/>
        </w:rPr>
        <w:t>拨付到位</w:t>
      </w:r>
      <w:r>
        <w:rPr>
          <w:rFonts w:ascii="Times New Roman" w:eastAsia="方正仿宋_GBK" w:hAnsi="Times New Roman" w:cs="Times New Roman"/>
          <w:color w:val="000000" w:themeColor="text1"/>
          <w:sz w:val="32"/>
          <w:szCs w:val="32"/>
        </w:rPr>
        <w:t>354.98</w:t>
      </w:r>
      <w:r>
        <w:rPr>
          <w:rFonts w:ascii="Times New Roman" w:eastAsia="方正仿宋_GBK" w:hAnsi="Times New Roman" w:cs="Times New Roman"/>
          <w:color w:val="000000" w:themeColor="text1"/>
          <w:sz w:val="32"/>
          <w:szCs w:val="32"/>
        </w:rPr>
        <w:t>万元</w:t>
      </w:r>
      <w:r>
        <w:rPr>
          <w:rFonts w:ascii="Times New Roman" w:eastAsia="方正仿宋_GBK" w:hAnsi="Times New Roman" w:cs="Times New Roman"/>
          <w:color w:val="000000" w:themeColor="text1"/>
          <w:kern w:val="2"/>
          <w:sz w:val="32"/>
          <w:szCs w:val="32"/>
        </w:rPr>
        <w:t>，资金到位率达</w:t>
      </w:r>
      <w:r>
        <w:rPr>
          <w:rFonts w:ascii="Times New Roman" w:eastAsia="方正仿宋_GBK" w:hAnsi="Times New Roman" w:cs="Times New Roman"/>
          <w:color w:val="000000" w:themeColor="text1"/>
          <w:kern w:val="2"/>
          <w:sz w:val="32"/>
          <w:szCs w:val="32"/>
        </w:rPr>
        <w:t xml:space="preserve"> 100%</w:t>
      </w:r>
      <w:r>
        <w:rPr>
          <w:rFonts w:ascii="Times New Roman" w:eastAsia="方正仿宋_GBK" w:hAnsi="Times New Roman" w:cs="Times New Roman"/>
          <w:color w:val="000000" w:themeColor="text1"/>
          <w:kern w:val="2"/>
          <w:sz w:val="32"/>
          <w:szCs w:val="32"/>
        </w:rPr>
        <w:t>。在资金使用方面，截至目前实际支出</w:t>
      </w:r>
      <w:r>
        <w:rPr>
          <w:rFonts w:ascii="Times New Roman" w:eastAsia="方正仿宋_GBK" w:hAnsi="Times New Roman" w:cs="Times New Roman"/>
          <w:color w:val="000000" w:themeColor="text1"/>
          <w:kern w:val="2"/>
          <w:sz w:val="32"/>
          <w:szCs w:val="32"/>
        </w:rPr>
        <w:t>354.59</w:t>
      </w:r>
      <w:r>
        <w:rPr>
          <w:rFonts w:ascii="Times New Roman" w:eastAsia="方正仿宋_GBK" w:hAnsi="Times New Roman" w:cs="Times New Roman"/>
          <w:color w:val="000000" w:themeColor="text1"/>
          <w:kern w:val="2"/>
          <w:sz w:val="32"/>
          <w:szCs w:val="32"/>
        </w:rPr>
        <w:t>万元，预算执行率为</w:t>
      </w:r>
      <w:r>
        <w:rPr>
          <w:rFonts w:ascii="Times New Roman" w:eastAsia="方正仿宋_GBK" w:hAnsi="Times New Roman" w:cs="Times New Roman"/>
          <w:color w:val="000000" w:themeColor="text1"/>
          <w:kern w:val="2"/>
          <w:sz w:val="32"/>
          <w:szCs w:val="32"/>
        </w:rPr>
        <w:t>99.89%</w:t>
      </w:r>
      <w:r>
        <w:rPr>
          <w:rFonts w:ascii="Times New Roman" w:eastAsia="方正仿宋_GBK" w:hAnsi="Times New Roman" w:cs="Times New Roman"/>
          <w:color w:val="000000" w:themeColor="text1"/>
          <w:kern w:val="2"/>
          <w:sz w:val="32"/>
          <w:szCs w:val="32"/>
        </w:rPr>
        <w:t>。资金支付严格依据项目开展的实际情况与进度，按照合同约定的条款有序进行，每一笔资金的流向都经过严格审核与把关，确保专款专用、合规高效。</w:t>
      </w:r>
    </w:p>
    <w:p w:rsidR="005D4200" w:rsidRDefault="001F0475">
      <w:pPr>
        <w:pStyle w:val="2"/>
        <w:spacing w:before="0" w:after="0" w:line="300" w:lineRule="auto"/>
        <w:ind w:firstLineChars="200" w:firstLine="640"/>
        <w:rPr>
          <w:rFonts w:ascii="Times New Roman" w:eastAsia="方正楷体_GBK" w:hAnsi="Times New Roman" w:cs="Times New Roman"/>
          <w:b w:val="0"/>
          <w:bCs w:val="0"/>
          <w:color w:val="000000" w:themeColor="text1"/>
          <w:kern w:val="2"/>
        </w:rPr>
      </w:pPr>
      <w:r>
        <w:rPr>
          <w:rFonts w:ascii="Times New Roman" w:eastAsia="方正楷体_GBK" w:hAnsi="Times New Roman" w:cs="Times New Roman"/>
          <w:b w:val="0"/>
          <w:bCs w:val="0"/>
          <w:color w:val="000000" w:themeColor="text1"/>
          <w:kern w:val="2"/>
        </w:rPr>
        <w:t>（三）绩效目标</w:t>
      </w:r>
    </w:p>
    <w:p w:rsidR="005D4200" w:rsidRDefault="001F0475">
      <w:pPr>
        <w:pStyle w:val="Style13"/>
        <w:spacing w:before="0" w:after="0" w:line="300" w:lineRule="auto"/>
        <w:ind w:firstLineChars="200" w:firstLine="643"/>
        <w:rPr>
          <w:rFonts w:ascii="Times New Roman" w:eastAsia="方正仿宋_GBK" w:hAnsi="Times New Roman" w:cs="Times New Roman"/>
          <w:b/>
          <w:bCs/>
          <w:color w:val="000000" w:themeColor="text1"/>
          <w:kern w:val="2"/>
          <w:sz w:val="32"/>
          <w:szCs w:val="32"/>
        </w:rPr>
      </w:pPr>
      <w:r>
        <w:rPr>
          <w:rFonts w:ascii="Times New Roman" w:eastAsia="方正仿宋_GBK" w:hAnsi="Times New Roman" w:cs="Times New Roman"/>
          <w:b/>
          <w:bCs/>
          <w:color w:val="000000" w:themeColor="text1"/>
          <w:kern w:val="2"/>
          <w:sz w:val="32"/>
          <w:szCs w:val="32"/>
        </w:rPr>
        <w:t xml:space="preserve">1. </w:t>
      </w:r>
      <w:r>
        <w:rPr>
          <w:rFonts w:ascii="Times New Roman" w:eastAsia="方正仿宋_GBK" w:hAnsi="Times New Roman" w:cs="Times New Roman"/>
          <w:b/>
          <w:bCs/>
          <w:color w:val="000000" w:themeColor="text1"/>
          <w:kern w:val="2"/>
          <w:sz w:val="32"/>
          <w:szCs w:val="32"/>
        </w:rPr>
        <w:t>绩效总目标</w:t>
      </w:r>
    </w:p>
    <w:p w:rsidR="005D4200" w:rsidRDefault="001F0475">
      <w:pPr>
        <w:pStyle w:val="Style13"/>
        <w:spacing w:before="0" w:after="0" w:line="300" w:lineRule="auto"/>
        <w:ind w:firstLineChars="200" w:firstLine="640"/>
        <w:rPr>
          <w:rFonts w:ascii="Times New Roman" w:eastAsia="方正仿宋_GBK" w:hAnsi="Times New Roman" w:cs="Times New Roman"/>
          <w:color w:val="000000" w:themeColor="text1"/>
          <w:kern w:val="2"/>
          <w:sz w:val="32"/>
          <w:szCs w:val="32"/>
        </w:rPr>
      </w:pPr>
      <w:r>
        <w:rPr>
          <w:rFonts w:ascii="Times New Roman" w:eastAsia="方正仿宋_GBK" w:hAnsi="Times New Roman" w:cs="Times New Roman"/>
          <w:color w:val="000000" w:themeColor="text1"/>
          <w:kern w:val="2"/>
          <w:sz w:val="32"/>
          <w:szCs w:val="32"/>
        </w:rPr>
        <w:t>通过一系列建设举措，建成功能完备、设施先进的</w:t>
      </w:r>
      <w:r>
        <w:rPr>
          <w:rFonts w:ascii="Times New Roman" w:eastAsia="方正仿宋_GBK" w:hAnsi="Times New Roman" w:cs="Times New Roman"/>
          <w:color w:val="000000" w:themeColor="text1"/>
          <w:kern w:val="2"/>
          <w:sz w:val="32"/>
          <w:szCs w:val="32"/>
        </w:rPr>
        <w:t xml:space="preserve"> 10 </w:t>
      </w:r>
      <w:r>
        <w:rPr>
          <w:rFonts w:ascii="Times New Roman" w:eastAsia="方正仿宋_GBK" w:hAnsi="Times New Roman" w:cs="Times New Roman"/>
          <w:color w:val="000000" w:themeColor="text1"/>
          <w:kern w:val="2"/>
          <w:sz w:val="32"/>
          <w:szCs w:val="32"/>
        </w:rPr>
        <w:t>个数字技能实训室，形成总计</w:t>
      </w:r>
      <w:r>
        <w:rPr>
          <w:rFonts w:ascii="Times New Roman" w:eastAsia="方正仿宋_GBK" w:hAnsi="Times New Roman" w:cs="Times New Roman"/>
          <w:color w:val="000000" w:themeColor="text1"/>
          <w:kern w:val="2"/>
          <w:sz w:val="32"/>
          <w:szCs w:val="32"/>
        </w:rPr>
        <w:t xml:space="preserve"> 500</w:t>
      </w:r>
      <w:r>
        <w:rPr>
          <w:rFonts w:ascii="Times New Roman" w:eastAsia="方正仿宋_GBK" w:hAnsi="Times New Roman" w:cs="Times New Roman"/>
          <w:color w:val="000000" w:themeColor="text1"/>
          <w:kern w:val="2"/>
          <w:sz w:val="32"/>
          <w:szCs w:val="32"/>
        </w:rPr>
        <w:t>余工位的规模化培训基地。以此为依托，全年新增培养数字技能人才</w:t>
      </w:r>
      <w:r>
        <w:rPr>
          <w:rFonts w:ascii="Times New Roman" w:eastAsia="方正仿宋_GBK" w:hAnsi="Times New Roman" w:cs="Times New Roman"/>
          <w:color w:val="000000" w:themeColor="text1"/>
          <w:kern w:val="2"/>
          <w:sz w:val="32"/>
          <w:szCs w:val="32"/>
        </w:rPr>
        <w:t xml:space="preserve">1 </w:t>
      </w:r>
      <w:r>
        <w:rPr>
          <w:rFonts w:ascii="Times New Roman" w:eastAsia="方正仿宋_GBK" w:hAnsi="Times New Roman" w:cs="Times New Roman"/>
          <w:color w:val="000000" w:themeColor="text1"/>
          <w:kern w:val="2"/>
          <w:sz w:val="32"/>
          <w:szCs w:val="32"/>
        </w:rPr>
        <w:t>万人次，有效满足产业对高素质数字技能人才的需求。</w:t>
      </w:r>
    </w:p>
    <w:p w:rsidR="005D4200" w:rsidRDefault="001F0475">
      <w:pPr>
        <w:pStyle w:val="Style13"/>
        <w:numPr>
          <w:ilvl w:val="0"/>
          <w:numId w:val="1"/>
        </w:numPr>
        <w:spacing w:before="0" w:after="0" w:line="300" w:lineRule="auto"/>
        <w:ind w:firstLineChars="200" w:firstLine="643"/>
        <w:rPr>
          <w:rFonts w:ascii="Times New Roman" w:eastAsia="方正仿宋_GBK" w:hAnsi="Times New Roman" w:cs="Times New Roman"/>
          <w:b/>
          <w:bCs/>
          <w:color w:val="000000" w:themeColor="text1"/>
          <w:kern w:val="2"/>
          <w:sz w:val="32"/>
          <w:szCs w:val="32"/>
        </w:rPr>
      </w:pPr>
      <w:r>
        <w:rPr>
          <w:rFonts w:ascii="Times New Roman" w:eastAsia="方正仿宋_GBK" w:hAnsi="Times New Roman" w:cs="Times New Roman"/>
          <w:b/>
          <w:bCs/>
          <w:color w:val="000000" w:themeColor="text1"/>
          <w:kern w:val="2"/>
          <w:sz w:val="32"/>
          <w:szCs w:val="32"/>
        </w:rPr>
        <w:t>年度完成目标</w:t>
      </w:r>
    </w:p>
    <w:p w:rsidR="005D4200" w:rsidRDefault="001F0475">
      <w:pPr>
        <w:pStyle w:val="Style13"/>
        <w:spacing w:before="0" w:after="0" w:line="300" w:lineRule="auto"/>
        <w:ind w:firstLineChars="200" w:firstLine="643"/>
        <w:rPr>
          <w:rFonts w:ascii="Times New Roman" w:eastAsia="方正仿宋_GBK" w:hAnsi="Times New Roman" w:cs="Times New Roman"/>
          <w:color w:val="000000" w:themeColor="text1"/>
          <w:kern w:val="2"/>
          <w:sz w:val="32"/>
          <w:szCs w:val="32"/>
        </w:rPr>
      </w:pPr>
      <w:r>
        <w:rPr>
          <w:rFonts w:ascii="Times New Roman" w:eastAsia="方正仿宋_GBK" w:hAnsi="Times New Roman" w:cs="Times New Roman"/>
          <w:b/>
          <w:bCs/>
          <w:color w:val="000000" w:themeColor="text1"/>
          <w:kern w:val="2"/>
          <w:sz w:val="32"/>
          <w:szCs w:val="32"/>
        </w:rPr>
        <w:t>（</w:t>
      </w:r>
      <w:r>
        <w:rPr>
          <w:rFonts w:ascii="Times New Roman" w:eastAsia="方正仿宋_GBK" w:hAnsi="Times New Roman" w:cs="Times New Roman"/>
          <w:b/>
          <w:bCs/>
          <w:color w:val="000000" w:themeColor="text1"/>
          <w:kern w:val="2"/>
          <w:sz w:val="32"/>
          <w:szCs w:val="32"/>
        </w:rPr>
        <w:t>1</w:t>
      </w:r>
      <w:r>
        <w:rPr>
          <w:rFonts w:ascii="Times New Roman" w:eastAsia="方正仿宋_GBK" w:hAnsi="Times New Roman" w:cs="Times New Roman"/>
          <w:b/>
          <w:bCs/>
          <w:color w:val="000000" w:themeColor="text1"/>
          <w:kern w:val="2"/>
          <w:sz w:val="32"/>
          <w:szCs w:val="32"/>
        </w:rPr>
        <w:t>）建设任务完成：</w:t>
      </w:r>
      <w:r>
        <w:rPr>
          <w:rFonts w:ascii="Times New Roman" w:eastAsia="方正仿宋_GBK" w:hAnsi="Times New Roman" w:cs="Times New Roman"/>
          <w:color w:val="000000" w:themeColor="text1"/>
          <w:kern w:val="2"/>
          <w:sz w:val="32"/>
          <w:szCs w:val="32"/>
        </w:rPr>
        <w:t xml:space="preserve">2024 </w:t>
      </w:r>
      <w:r>
        <w:rPr>
          <w:rFonts w:ascii="Times New Roman" w:eastAsia="方正仿宋_GBK" w:hAnsi="Times New Roman" w:cs="Times New Roman"/>
          <w:color w:val="000000" w:themeColor="text1"/>
          <w:kern w:val="2"/>
          <w:sz w:val="32"/>
          <w:szCs w:val="32"/>
        </w:rPr>
        <w:t>年内圆满完成</w:t>
      </w:r>
      <w:r>
        <w:rPr>
          <w:rFonts w:ascii="Times New Roman" w:eastAsia="方正仿宋_GBK" w:hAnsi="Times New Roman" w:cs="Times New Roman"/>
          <w:color w:val="000000" w:themeColor="text1"/>
          <w:kern w:val="2"/>
          <w:sz w:val="32"/>
          <w:szCs w:val="32"/>
        </w:rPr>
        <w:t xml:space="preserve"> 8 </w:t>
      </w:r>
      <w:r>
        <w:rPr>
          <w:rFonts w:ascii="Times New Roman" w:eastAsia="方正仿宋_GBK" w:hAnsi="Times New Roman" w:cs="Times New Roman"/>
          <w:color w:val="000000" w:themeColor="text1"/>
          <w:kern w:val="2"/>
          <w:sz w:val="32"/>
          <w:szCs w:val="32"/>
        </w:rPr>
        <w:t>个实训室的建设工作，涵盖设备采购、场地改造以及配套服务单位的招标等关键环节。在设备采购上，精准选型，确保所采购设备</w:t>
      </w:r>
      <w:r>
        <w:rPr>
          <w:rFonts w:ascii="Times New Roman" w:eastAsia="方正仿宋_GBK" w:hAnsi="Times New Roman" w:cs="Times New Roman" w:hint="eastAsia"/>
          <w:color w:val="000000" w:themeColor="text1"/>
          <w:kern w:val="2"/>
          <w:sz w:val="32"/>
          <w:szCs w:val="32"/>
        </w:rPr>
        <w:t>满足</w:t>
      </w:r>
      <w:r>
        <w:rPr>
          <w:rFonts w:ascii="Times New Roman" w:eastAsia="方正仿宋_GBK" w:hAnsi="Times New Roman" w:cs="Times New Roman"/>
          <w:color w:val="000000" w:themeColor="text1"/>
          <w:kern w:val="2"/>
          <w:sz w:val="32"/>
          <w:szCs w:val="32"/>
        </w:rPr>
        <w:t>教学实践</w:t>
      </w:r>
      <w:r>
        <w:rPr>
          <w:rFonts w:ascii="Times New Roman" w:eastAsia="方正仿宋_GBK" w:hAnsi="Times New Roman" w:cs="Times New Roman" w:hint="eastAsia"/>
          <w:color w:val="000000" w:themeColor="text1"/>
          <w:kern w:val="2"/>
          <w:sz w:val="32"/>
          <w:szCs w:val="32"/>
        </w:rPr>
        <w:t>与技能大赛</w:t>
      </w:r>
      <w:r>
        <w:rPr>
          <w:rFonts w:ascii="Times New Roman" w:eastAsia="方正仿宋_GBK" w:hAnsi="Times New Roman" w:cs="Times New Roman"/>
          <w:color w:val="000000" w:themeColor="text1"/>
          <w:kern w:val="2"/>
          <w:sz w:val="32"/>
          <w:szCs w:val="32"/>
        </w:rPr>
        <w:t>需求；场地改造遵循安全、便捷、高效的原则，打造舒适、专业的实训环境；招标过程严格遵循相关法规与流程，确保选择优质的服务单位。</w:t>
      </w:r>
    </w:p>
    <w:p w:rsidR="005D4200" w:rsidRDefault="001F0475">
      <w:pPr>
        <w:pStyle w:val="Style13"/>
        <w:spacing w:before="0" w:after="0" w:line="300" w:lineRule="auto"/>
        <w:ind w:firstLineChars="200" w:firstLine="643"/>
        <w:rPr>
          <w:rFonts w:ascii="Times New Roman" w:eastAsia="方正仿宋_GBK" w:hAnsi="Times New Roman" w:cs="Times New Roman"/>
          <w:color w:val="000000" w:themeColor="text1"/>
          <w:kern w:val="2"/>
          <w:sz w:val="32"/>
          <w:szCs w:val="32"/>
        </w:rPr>
      </w:pPr>
      <w:r>
        <w:rPr>
          <w:rFonts w:ascii="Times New Roman" w:eastAsia="方正仿宋_GBK" w:hAnsi="Times New Roman" w:cs="Times New Roman"/>
          <w:b/>
          <w:bCs/>
          <w:color w:val="000000" w:themeColor="text1"/>
          <w:kern w:val="2"/>
          <w:sz w:val="32"/>
          <w:szCs w:val="32"/>
        </w:rPr>
        <w:t>（</w:t>
      </w:r>
      <w:r>
        <w:rPr>
          <w:rFonts w:ascii="Times New Roman" w:eastAsia="方正仿宋_GBK" w:hAnsi="Times New Roman" w:cs="Times New Roman"/>
          <w:b/>
          <w:bCs/>
          <w:color w:val="000000" w:themeColor="text1"/>
          <w:kern w:val="2"/>
          <w:sz w:val="32"/>
          <w:szCs w:val="32"/>
        </w:rPr>
        <w:t>2</w:t>
      </w:r>
      <w:r>
        <w:rPr>
          <w:rFonts w:ascii="Times New Roman" w:eastAsia="方正仿宋_GBK" w:hAnsi="Times New Roman" w:cs="Times New Roman"/>
          <w:b/>
          <w:bCs/>
          <w:color w:val="000000" w:themeColor="text1"/>
          <w:kern w:val="2"/>
          <w:sz w:val="32"/>
          <w:szCs w:val="32"/>
        </w:rPr>
        <w:t>）项目流程推进：</w:t>
      </w:r>
      <w:r>
        <w:rPr>
          <w:rFonts w:ascii="Times New Roman" w:eastAsia="方正仿宋_GBK" w:hAnsi="Times New Roman" w:cs="Times New Roman"/>
          <w:color w:val="000000" w:themeColor="text1"/>
          <w:kern w:val="2"/>
          <w:sz w:val="32"/>
          <w:szCs w:val="32"/>
        </w:rPr>
        <w:t>按计划稳步推进项目设计、造价及设备安装调试工作。项目设计阶段充分征求各方意见，邀请行业专家参与论证，确保设计方案科学合理；设备安装调试环节，安排</w:t>
      </w:r>
      <w:r>
        <w:rPr>
          <w:rFonts w:ascii="Times New Roman" w:eastAsia="方正仿宋_GBK" w:hAnsi="Times New Roman" w:cs="Times New Roman"/>
          <w:color w:val="000000" w:themeColor="text1"/>
          <w:kern w:val="2"/>
          <w:sz w:val="32"/>
          <w:szCs w:val="32"/>
        </w:rPr>
        <w:lastRenderedPageBreak/>
        <w:t>专业技术人员全程跟进，保障设备正常运行，达到预期性能指标。</w:t>
      </w:r>
    </w:p>
    <w:p w:rsidR="005D4200" w:rsidRDefault="001F0475">
      <w:pPr>
        <w:pStyle w:val="2"/>
        <w:spacing w:before="0" w:after="0" w:line="300" w:lineRule="auto"/>
        <w:ind w:firstLineChars="200" w:firstLine="640"/>
        <w:rPr>
          <w:rFonts w:ascii="Times New Roman" w:eastAsia="方正仿宋_GBK" w:hAnsi="Times New Roman" w:cs="Times New Roman"/>
          <w:b w:val="0"/>
          <w:bCs w:val="0"/>
          <w:color w:val="000000" w:themeColor="text1"/>
          <w:kern w:val="2"/>
        </w:rPr>
      </w:pPr>
      <w:r>
        <w:rPr>
          <w:rFonts w:ascii="Times New Roman" w:eastAsia="方正黑体_GBK" w:hAnsi="Times New Roman" w:cs="Times New Roman"/>
          <w:b w:val="0"/>
          <w:bCs w:val="0"/>
          <w:color w:val="000000" w:themeColor="text1"/>
          <w:kern w:val="2"/>
        </w:rPr>
        <w:t>二、</w:t>
      </w:r>
      <w:r>
        <w:rPr>
          <w:rFonts w:ascii="方正黑体_GBK" w:eastAsia="方正黑体_GBK" w:hAnsi="黑体" w:cs="Times New Roman"/>
          <w:b w:val="0"/>
          <w:bCs w:val="0"/>
          <w:color w:val="000000" w:themeColor="text1"/>
          <w:kern w:val="2"/>
        </w:rPr>
        <w:t>评价结论</w:t>
      </w:r>
    </w:p>
    <w:p w:rsidR="005D4200" w:rsidRDefault="001F0475">
      <w:pPr>
        <w:pStyle w:val="2"/>
        <w:spacing w:before="0" w:after="0" w:line="300" w:lineRule="auto"/>
        <w:ind w:firstLineChars="200" w:firstLine="640"/>
        <w:rPr>
          <w:rFonts w:ascii="Times New Roman" w:eastAsia="方正楷体_GBK" w:hAnsi="Times New Roman" w:cs="Times New Roman"/>
          <w:b w:val="0"/>
          <w:bCs w:val="0"/>
          <w:color w:val="000000" w:themeColor="text1"/>
          <w:kern w:val="2"/>
        </w:rPr>
      </w:pPr>
      <w:r>
        <w:rPr>
          <w:rFonts w:ascii="Times New Roman" w:eastAsia="方正楷体_GBK" w:hAnsi="Times New Roman" w:cs="Times New Roman"/>
          <w:b w:val="0"/>
          <w:bCs w:val="0"/>
          <w:color w:val="000000" w:themeColor="text1"/>
          <w:kern w:val="2"/>
        </w:rPr>
        <w:t>（一）评价对象与范围</w:t>
      </w:r>
    </w:p>
    <w:p w:rsidR="005D4200" w:rsidRDefault="001F0475">
      <w:pPr>
        <w:spacing w:line="300" w:lineRule="auto"/>
        <w:ind w:firstLineChars="200" w:firstLine="640"/>
        <w:rPr>
          <w:rFonts w:eastAsia="方正仿宋_GBK"/>
          <w:color w:val="000000" w:themeColor="text1"/>
          <w:kern w:val="2"/>
          <w:sz w:val="32"/>
          <w:szCs w:val="32"/>
        </w:rPr>
      </w:pPr>
      <w:r>
        <w:rPr>
          <w:rFonts w:eastAsia="方正仿宋_GBK"/>
          <w:color w:val="000000" w:themeColor="text1"/>
          <w:kern w:val="2"/>
          <w:sz w:val="32"/>
          <w:szCs w:val="32"/>
        </w:rPr>
        <w:t>纳入本次绩效评价对象为市财政专项资金</w:t>
      </w:r>
      <w:r>
        <w:rPr>
          <w:rFonts w:eastAsia="方正仿宋_GBK"/>
          <w:color w:val="000000" w:themeColor="text1"/>
          <w:kern w:val="2"/>
          <w:sz w:val="32"/>
          <w:szCs w:val="32"/>
        </w:rPr>
        <w:t>354.98</w:t>
      </w:r>
      <w:r>
        <w:rPr>
          <w:rFonts w:eastAsia="方正仿宋_GBK"/>
          <w:color w:val="000000" w:themeColor="text1"/>
          <w:kern w:val="2"/>
          <w:sz w:val="32"/>
          <w:szCs w:val="32"/>
        </w:rPr>
        <w:t>万元，根据专项资金具体投向及实施内容，评价范围主要包括：项目实施规范性、项目资金支出规范性、项目实施完成度、项目实施安全性及项目建成后社会效益情况。</w:t>
      </w:r>
    </w:p>
    <w:p w:rsidR="005D4200" w:rsidRDefault="001F0475">
      <w:pPr>
        <w:spacing w:line="300" w:lineRule="auto"/>
        <w:ind w:firstLineChars="200" w:firstLine="640"/>
        <w:rPr>
          <w:rFonts w:eastAsia="方正仿宋_GBK"/>
          <w:color w:val="000000" w:themeColor="text1"/>
          <w:kern w:val="2"/>
          <w:sz w:val="32"/>
          <w:szCs w:val="32"/>
        </w:rPr>
      </w:pPr>
      <w:r>
        <w:rPr>
          <w:rFonts w:eastAsia="方正仿宋_GBK"/>
          <w:color w:val="000000" w:themeColor="text1"/>
          <w:kern w:val="2"/>
          <w:sz w:val="32"/>
          <w:szCs w:val="32"/>
        </w:rPr>
        <w:t>评价期限：</w:t>
      </w:r>
      <w:r>
        <w:rPr>
          <w:rFonts w:eastAsia="方正仿宋_GBK"/>
          <w:color w:val="000000" w:themeColor="text1"/>
          <w:kern w:val="2"/>
          <w:sz w:val="32"/>
          <w:szCs w:val="32"/>
        </w:rPr>
        <w:t>2024</w:t>
      </w:r>
      <w:r>
        <w:rPr>
          <w:rFonts w:eastAsia="方正仿宋_GBK"/>
          <w:color w:val="000000" w:themeColor="text1"/>
          <w:kern w:val="2"/>
          <w:sz w:val="32"/>
          <w:szCs w:val="32"/>
        </w:rPr>
        <w:t>年</w:t>
      </w:r>
      <w:r>
        <w:rPr>
          <w:rFonts w:eastAsia="方正仿宋_GBK"/>
          <w:color w:val="000000" w:themeColor="text1"/>
          <w:kern w:val="2"/>
          <w:sz w:val="32"/>
          <w:szCs w:val="32"/>
        </w:rPr>
        <w:t>1</w:t>
      </w:r>
      <w:r>
        <w:rPr>
          <w:rFonts w:eastAsia="方正仿宋_GBK"/>
          <w:color w:val="000000" w:themeColor="text1"/>
          <w:kern w:val="2"/>
          <w:sz w:val="32"/>
          <w:szCs w:val="32"/>
        </w:rPr>
        <w:t>月</w:t>
      </w:r>
      <w:r>
        <w:rPr>
          <w:rFonts w:eastAsia="方正仿宋_GBK"/>
          <w:color w:val="000000" w:themeColor="text1"/>
          <w:kern w:val="2"/>
          <w:sz w:val="32"/>
          <w:szCs w:val="32"/>
        </w:rPr>
        <w:t>1</w:t>
      </w:r>
      <w:r>
        <w:rPr>
          <w:rFonts w:eastAsia="方正仿宋_GBK"/>
          <w:color w:val="000000" w:themeColor="text1"/>
          <w:kern w:val="2"/>
          <w:sz w:val="32"/>
          <w:szCs w:val="32"/>
        </w:rPr>
        <w:t>日</w:t>
      </w:r>
      <w:r>
        <w:rPr>
          <w:rFonts w:eastAsia="方正仿宋_GBK"/>
          <w:color w:val="000000" w:themeColor="text1"/>
          <w:kern w:val="2"/>
          <w:sz w:val="32"/>
          <w:szCs w:val="32"/>
        </w:rPr>
        <w:t>—12</w:t>
      </w:r>
      <w:r>
        <w:rPr>
          <w:rFonts w:eastAsia="方正仿宋_GBK"/>
          <w:color w:val="000000" w:themeColor="text1"/>
          <w:kern w:val="2"/>
          <w:sz w:val="32"/>
          <w:szCs w:val="32"/>
        </w:rPr>
        <w:t>月</w:t>
      </w:r>
      <w:r>
        <w:rPr>
          <w:rFonts w:eastAsia="方正仿宋_GBK"/>
          <w:color w:val="000000" w:themeColor="text1"/>
          <w:kern w:val="2"/>
          <w:sz w:val="32"/>
          <w:szCs w:val="32"/>
        </w:rPr>
        <w:t>31</w:t>
      </w:r>
      <w:r>
        <w:rPr>
          <w:rFonts w:eastAsia="方正仿宋_GBK"/>
          <w:color w:val="000000" w:themeColor="text1"/>
          <w:kern w:val="2"/>
          <w:sz w:val="32"/>
          <w:szCs w:val="32"/>
        </w:rPr>
        <w:t>日。</w:t>
      </w:r>
    </w:p>
    <w:p w:rsidR="005D4200" w:rsidRDefault="001F0475">
      <w:pPr>
        <w:pStyle w:val="2"/>
        <w:spacing w:before="0" w:after="0" w:line="300" w:lineRule="auto"/>
        <w:ind w:firstLineChars="200" w:firstLine="640"/>
        <w:rPr>
          <w:rFonts w:ascii="Times New Roman" w:eastAsia="方正楷体_GBK" w:hAnsi="Times New Roman" w:cs="Times New Roman"/>
          <w:b w:val="0"/>
          <w:bCs w:val="0"/>
          <w:color w:val="000000" w:themeColor="text1"/>
          <w:kern w:val="2"/>
        </w:rPr>
      </w:pPr>
      <w:r>
        <w:rPr>
          <w:rFonts w:ascii="Times New Roman" w:eastAsia="方正楷体_GBK" w:hAnsi="Times New Roman" w:cs="Times New Roman"/>
          <w:b w:val="0"/>
          <w:bCs w:val="0"/>
          <w:color w:val="000000" w:themeColor="text1"/>
          <w:kern w:val="2"/>
        </w:rPr>
        <w:t>（二）评价结论与评分结果</w:t>
      </w:r>
    </w:p>
    <w:p w:rsidR="005D4200" w:rsidRDefault="001F0475">
      <w:pPr>
        <w:spacing w:line="300" w:lineRule="auto"/>
        <w:ind w:firstLineChars="200" w:firstLine="640"/>
        <w:rPr>
          <w:rFonts w:eastAsia="方正仿宋_GBK"/>
          <w:color w:val="000000" w:themeColor="text1"/>
          <w:kern w:val="2"/>
          <w:sz w:val="32"/>
          <w:szCs w:val="32"/>
        </w:rPr>
      </w:pPr>
      <w:r>
        <w:rPr>
          <w:rFonts w:eastAsia="方正仿宋_GBK"/>
          <w:color w:val="000000" w:themeColor="text1"/>
          <w:sz w:val="32"/>
          <w:szCs w:val="32"/>
        </w:rPr>
        <w:t>根据专项资金预算执行涉及到的资料及相关凭证，在全面整理分析的基础上，经过对项目决策方面（项目立项、绩效目标、资金投入）、项目过程方面（资金管理、组织实施）、项目产出及项目效益、满意度等方面多元分析，按照</w:t>
      </w:r>
      <w:r>
        <w:rPr>
          <w:rFonts w:eastAsia="方正仿宋_GBK" w:hint="eastAsia"/>
          <w:color w:val="000000" w:themeColor="text1"/>
          <w:sz w:val="32"/>
          <w:szCs w:val="32"/>
        </w:rPr>
        <w:t>“</w:t>
      </w:r>
      <w:r>
        <w:rPr>
          <w:rFonts w:eastAsia="方正仿宋_GBK"/>
          <w:color w:val="000000" w:themeColor="text1"/>
          <w:sz w:val="32"/>
          <w:szCs w:val="32"/>
        </w:rPr>
        <w:t>财政专项资金绩效评价指标体系</w:t>
      </w:r>
      <w:r>
        <w:rPr>
          <w:rFonts w:eastAsia="方正仿宋_GBK" w:hint="eastAsia"/>
          <w:color w:val="000000" w:themeColor="text1"/>
          <w:sz w:val="32"/>
          <w:szCs w:val="32"/>
        </w:rPr>
        <w:t>”</w:t>
      </w:r>
      <w:r>
        <w:rPr>
          <w:rFonts w:eastAsia="方正仿宋_GBK"/>
          <w:color w:val="000000" w:themeColor="text1"/>
          <w:sz w:val="32"/>
          <w:szCs w:val="32"/>
        </w:rPr>
        <w:t>进行综合评价，本项目综合得分</w:t>
      </w:r>
      <w:r>
        <w:rPr>
          <w:rFonts w:eastAsia="方正仿宋_GBK"/>
          <w:color w:val="000000" w:themeColor="text1"/>
          <w:sz w:val="32"/>
          <w:szCs w:val="32"/>
        </w:rPr>
        <w:t>99.1</w:t>
      </w:r>
      <w:r>
        <w:rPr>
          <w:rFonts w:eastAsia="方正仿宋_GBK"/>
          <w:color w:val="000000" w:themeColor="text1"/>
          <w:sz w:val="32"/>
          <w:szCs w:val="32"/>
        </w:rPr>
        <w:t>分（详见附件），评价等次为</w:t>
      </w:r>
      <w:r>
        <w:rPr>
          <w:rFonts w:eastAsia="方正仿宋_GBK" w:hint="eastAsia"/>
          <w:color w:val="000000" w:themeColor="text1"/>
          <w:sz w:val="32"/>
          <w:szCs w:val="32"/>
        </w:rPr>
        <w:t>“</w:t>
      </w:r>
      <w:r>
        <w:rPr>
          <w:rFonts w:eastAsia="方正仿宋_GBK"/>
          <w:color w:val="000000" w:themeColor="text1"/>
          <w:sz w:val="32"/>
          <w:szCs w:val="32"/>
        </w:rPr>
        <w:t>优</w:t>
      </w:r>
      <w:r>
        <w:rPr>
          <w:rFonts w:eastAsia="方正仿宋_GBK" w:hint="eastAsia"/>
          <w:color w:val="000000" w:themeColor="text1"/>
          <w:sz w:val="32"/>
          <w:szCs w:val="32"/>
        </w:rPr>
        <w:t>”</w:t>
      </w:r>
      <w:r>
        <w:rPr>
          <w:rFonts w:eastAsia="方正仿宋_GBK"/>
          <w:color w:val="000000" w:themeColor="text1"/>
          <w:sz w:val="32"/>
          <w:szCs w:val="32"/>
        </w:rPr>
        <w:t>。</w:t>
      </w:r>
      <w:r>
        <w:rPr>
          <w:rFonts w:eastAsia="方正仿宋_GBK"/>
          <w:color w:val="000000" w:themeColor="text1"/>
          <w:kern w:val="2"/>
          <w:sz w:val="32"/>
          <w:szCs w:val="32"/>
        </w:rPr>
        <w:t>项目立项依据充分、绩效目标明确</w:t>
      </w:r>
      <w:r>
        <w:rPr>
          <w:rFonts w:eastAsia="方正仿宋_GBK" w:hint="eastAsia"/>
          <w:color w:val="000000" w:themeColor="text1"/>
          <w:kern w:val="2"/>
          <w:sz w:val="32"/>
          <w:szCs w:val="32"/>
        </w:rPr>
        <w:t>，</w:t>
      </w:r>
      <w:r>
        <w:rPr>
          <w:rFonts w:eastAsia="方正仿宋_GBK"/>
          <w:color w:val="000000" w:themeColor="text1"/>
          <w:kern w:val="2"/>
          <w:sz w:val="32"/>
          <w:szCs w:val="32"/>
        </w:rPr>
        <w:t>资金管理规范</w:t>
      </w:r>
      <w:r>
        <w:rPr>
          <w:rFonts w:eastAsia="方正仿宋_GBK" w:hint="eastAsia"/>
          <w:color w:val="000000" w:themeColor="text1"/>
          <w:kern w:val="2"/>
          <w:sz w:val="32"/>
          <w:szCs w:val="32"/>
        </w:rPr>
        <w:t>，</w:t>
      </w:r>
      <w:r>
        <w:rPr>
          <w:rFonts w:eastAsia="方正仿宋_GBK"/>
          <w:color w:val="000000" w:themeColor="text1"/>
          <w:kern w:val="2"/>
          <w:sz w:val="32"/>
          <w:szCs w:val="32"/>
        </w:rPr>
        <w:t>产出成果在数量上达标</w:t>
      </w:r>
      <w:r>
        <w:rPr>
          <w:rFonts w:eastAsia="方正仿宋_GBK" w:hint="eastAsia"/>
          <w:color w:val="000000" w:themeColor="text1"/>
          <w:kern w:val="2"/>
          <w:sz w:val="32"/>
          <w:szCs w:val="32"/>
        </w:rPr>
        <w:t>，</w:t>
      </w:r>
      <w:r>
        <w:rPr>
          <w:rFonts w:eastAsia="方正仿宋_GBK"/>
          <w:color w:val="000000" w:themeColor="text1"/>
          <w:kern w:val="2"/>
          <w:sz w:val="32"/>
          <w:szCs w:val="32"/>
        </w:rPr>
        <w:t>社会效益与经济效益逐步显现。</w:t>
      </w:r>
    </w:p>
    <w:p w:rsidR="005D4200" w:rsidRDefault="001F0475">
      <w:pPr>
        <w:pStyle w:val="2"/>
        <w:spacing w:before="0" w:after="0" w:line="300" w:lineRule="auto"/>
        <w:ind w:firstLineChars="200" w:firstLine="640"/>
        <w:rPr>
          <w:rFonts w:ascii="Times New Roman" w:eastAsia="方正仿宋_GBK" w:hAnsi="Times New Roman" w:cs="Times New Roman"/>
          <w:b w:val="0"/>
          <w:bCs w:val="0"/>
          <w:color w:val="000000" w:themeColor="text1"/>
          <w:kern w:val="2"/>
        </w:rPr>
      </w:pPr>
      <w:r>
        <w:rPr>
          <w:rFonts w:ascii="Times New Roman" w:eastAsia="方正黑体_GBK" w:hAnsi="Times New Roman" w:cs="Times New Roman"/>
          <w:b w:val="0"/>
          <w:bCs w:val="0"/>
          <w:color w:val="000000" w:themeColor="text1"/>
          <w:kern w:val="2"/>
        </w:rPr>
        <w:t>三、</w:t>
      </w:r>
      <w:r>
        <w:rPr>
          <w:rFonts w:ascii="方正黑体_GBK" w:eastAsia="方正黑体_GBK" w:hAnsi="黑体" w:cs="Times New Roman"/>
          <w:b w:val="0"/>
          <w:bCs w:val="0"/>
          <w:color w:val="000000" w:themeColor="text1"/>
          <w:kern w:val="2"/>
        </w:rPr>
        <w:t>项目做法及成效</w:t>
      </w:r>
    </w:p>
    <w:p w:rsidR="005D4200" w:rsidRDefault="001F0475">
      <w:pPr>
        <w:pStyle w:val="2"/>
        <w:spacing w:before="0" w:after="0" w:line="300" w:lineRule="auto"/>
        <w:ind w:firstLineChars="200" w:firstLine="640"/>
        <w:rPr>
          <w:rFonts w:ascii="Times New Roman" w:eastAsia="方正楷体_GBK" w:hAnsi="Times New Roman" w:cs="Times New Roman"/>
          <w:b w:val="0"/>
          <w:bCs w:val="0"/>
          <w:color w:val="000000" w:themeColor="text1"/>
          <w:kern w:val="2"/>
        </w:rPr>
      </w:pPr>
      <w:r>
        <w:rPr>
          <w:rFonts w:ascii="Times New Roman" w:eastAsia="方正楷体_GBK" w:hAnsi="Times New Roman" w:cs="Times New Roman"/>
          <w:b w:val="0"/>
          <w:bCs w:val="0"/>
          <w:color w:val="000000" w:themeColor="text1"/>
          <w:kern w:val="2"/>
        </w:rPr>
        <w:t>（一）采用集中建设管理与专家论证模式</w:t>
      </w:r>
    </w:p>
    <w:p w:rsidR="005D4200" w:rsidRDefault="001F0475">
      <w:pPr>
        <w:pStyle w:val="Style13"/>
        <w:spacing w:before="0" w:after="0" w:line="300" w:lineRule="auto"/>
        <w:ind w:firstLineChars="200" w:firstLine="640"/>
        <w:rPr>
          <w:rFonts w:ascii="Times New Roman" w:eastAsia="方正仿宋_GBK" w:hAnsi="Times New Roman" w:cs="Times New Roman"/>
          <w:color w:val="000000" w:themeColor="text1"/>
          <w:kern w:val="2"/>
          <w:sz w:val="32"/>
          <w:szCs w:val="32"/>
        </w:rPr>
      </w:pPr>
      <w:r>
        <w:rPr>
          <w:rFonts w:ascii="Times New Roman" w:eastAsia="方正仿宋_GBK" w:hAnsi="Times New Roman" w:cs="Times New Roman"/>
          <w:color w:val="000000" w:themeColor="text1"/>
          <w:kern w:val="2"/>
          <w:sz w:val="32"/>
          <w:szCs w:val="32"/>
        </w:rPr>
        <w:t>本项目实行严格的建设项目责任制。学院各系部组建专项工作小组，深入企业开展广泛调研，精准把握行业对数字技能人才的需求动态。同时，积极邀请高校资深学者、企业技术骨干等组</w:t>
      </w:r>
      <w:r>
        <w:rPr>
          <w:rFonts w:ascii="Times New Roman" w:eastAsia="方正仿宋_GBK" w:hAnsi="Times New Roman" w:cs="Times New Roman"/>
          <w:color w:val="000000" w:themeColor="text1"/>
          <w:kern w:val="2"/>
          <w:sz w:val="32"/>
          <w:szCs w:val="32"/>
        </w:rPr>
        <w:lastRenderedPageBreak/>
        <w:t>成专家团队，对建设项目逐一进行论证，确保建设方案紧密贴合工学一体化教学理念，同时满足技能大赛对人才培养的高标准要求，为项目顺利推进提供了保障。</w:t>
      </w:r>
    </w:p>
    <w:p w:rsidR="005D4200" w:rsidRDefault="001F0475">
      <w:pPr>
        <w:pStyle w:val="2"/>
        <w:spacing w:before="0" w:after="0" w:line="300" w:lineRule="auto"/>
        <w:ind w:firstLineChars="200" w:firstLine="640"/>
        <w:rPr>
          <w:rFonts w:ascii="Times New Roman" w:eastAsia="方正楷体_GBK" w:hAnsi="Times New Roman" w:cs="Times New Roman"/>
          <w:b w:val="0"/>
          <w:bCs w:val="0"/>
          <w:color w:val="000000" w:themeColor="text1"/>
          <w:kern w:val="2"/>
        </w:rPr>
      </w:pPr>
      <w:r>
        <w:rPr>
          <w:rFonts w:ascii="Times New Roman" w:eastAsia="方正楷体_GBK" w:hAnsi="Times New Roman" w:cs="Times New Roman"/>
          <w:b w:val="0"/>
          <w:bCs w:val="0"/>
          <w:color w:val="000000" w:themeColor="text1"/>
          <w:kern w:val="2"/>
        </w:rPr>
        <w:t>（二）规范招标流程与预算管理</w:t>
      </w:r>
    </w:p>
    <w:p w:rsidR="005D4200" w:rsidRDefault="001F0475">
      <w:pPr>
        <w:pStyle w:val="Style13"/>
        <w:spacing w:before="0" w:after="0" w:line="300" w:lineRule="auto"/>
        <w:ind w:firstLineChars="200" w:firstLine="640"/>
        <w:rPr>
          <w:rFonts w:ascii="Times New Roman" w:eastAsia="方正仿宋_GBK" w:hAnsi="Times New Roman" w:cs="Times New Roman"/>
          <w:color w:val="000000" w:themeColor="text1"/>
          <w:kern w:val="2"/>
          <w:sz w:val="32"/>
          <w:szCs w:val="32"/>
        </w:rPr>
      </w:pPr>
      <w:r>
        <w:rPr>
          <w:rFonts w:ascii="Times New Roman" w:eastAsia="方正仿宋_GBK" w:hAnsi="Times New Roman" w:cs="Times New Roman"/>
          <w:color w:val="000000" w:themeColor="text1"/>
          <w:kern w:val="2"/>
          <w:sz w:val="32"/>
          <w:szCs w:val="32"/>
        </w:rPr>
        <w:t>严格遵循《南京技师学院招标与采购工作管理办法》，对项目涉及施工、服务等单位，采取公开招标，从招标信息发布、投标单位资格审查到开标、评标，每个环节都严格把关，确保公平、公正、公开。在预算编制环节，做到细化至设备具体参数、数量及预算金额，确保资金使用透明合规。</w:t>
      </w:r>
    </w:p>
    <w:p w:rsidR="005D4200" w:rsidRDefault="001F0475">
      <w:pPr>
        <w:pStyle w:val="2"/>
        <w:spacing w:before="0" w:after="0" w:line="300" w:lineRule="auto"/>
        <w:ind w:firstLineChars="200" w:firstLine="640"/>
        <w:rPr>
          <w:rFonts w:ascii="方正黑体_GBK" w:eastAsia="方正黑体_GBK" w:hAnsi="黑体" w:cs="Times New Roman"/>
          <w:b w:val="0"/>
          <w:bCs w:val="0"/>
          <w:color w:val="000000" w:themeColor="text1"/>
          <w:kern w:val="2"/>
        </w:rPr>
      </w:pPr>
      <w:bookmarkStart w:id="1" w:name="OLE_LINK1"/>
      <w:r>
        <w:rPr>
          <w:rFonts w:ascii="Times New Roman" w:eastAsia="方正黑体_GBK" w:hAnsi="Times New Roman" w:cs="Times New Roman"/>
          <w:b w:val="0"/>
          <w:bCs w:val="0"/>
          <w:color w:val="000000" w:themeColor="text1"/>
          <w:kern w:val="2"/>
        </w:rPr>
        <w:t>四、</w:t>
      </w:r>
      <w:r>
        <w:rPr>
          <w:rFonts w:ascii="方正黑体_GBK" w:eastAsia="方正黑体_GBK" w:hAnsi="黑体" w:cs="Times New Roman"/>
          <w:b w:val="0"/>
          <w:bCs w:val="0"/>
          <w:color w:val="000000" w:themeColor="text1"/>
          <w:kern w:val="2"/>
        </w:rPr>
        <w:t>存在问题及原因分析</w:t>
      </w:r>
    </w:p>
    <w:p w:rsidR="005D4200" w:rsidRDefault="001F0475">
      <w:pPr>
        <w:pStyle w:val="3"/>
        <w:shd w:val="clear" w:color="auto" w:fill="FFFFFF"/>
        <w:spacing w:before="0" w:after="0" w:line="300" w:lineRule="auto"/>
        <w:ind w:firstLineChars="200" w:firstLine="640"/>
        <w:rPr>
          <w:rFonts w:ascii="Times New Roman" w:eastAsia="方正楷体_GBK" w:hAnsi="Times New Roman" w:cs="Times New Roman"/>
          <w:b w:val="0"/>
          <w:bCs w:val="0"/>
          <w:color w:val="000000" w:themeColor="text1"/>
          <w:kern w:val="2"/>
          <w:sz w:val="32"/>
          <w:szCs w:val="32"/>
        </w:rPr>
      </w:pPr>
      <w:r>
        <w:rPr>
          <w:rFonts w:ascii="Times New Roman" w:eastAsia="方正楷体_GBK" w:hAnsi="Times New Roman" w:cs="Times New Roman"/>
          <w:b w:val="0"/>
          <w:bCs w:val="0"/>
          <w:color w:val="000000" w:themeColor="text1"/>
          <w:kern w:val="2"/>
          <w:sz w:val="32"/>
          <w:szCs w:val="32"/>
        </w:rPr>
        <w:t>（一）存在问题</w:t>
      </w:r>
    </w:p>
    <w:p w:rsidR="005D4200" w:rsidRDefault="001F0475">
      <w:pPr>
        <w:spacing w:line="300" w:lineRule="auto"/>
        <w:ind w:firstLineChars="200" w:firstLine="640"/>
        <w:rPr>
          <w:rFonts w:eastAsia="方正仿宋_GBK"/>
          <w:color w:val="000000" w:themeColor="text1"/>
          <w:kern w:val="2"/>
          <w:sz w:val="32"/>
          <w:szCs w:val="32"/>
        </w:rPr>
      </w:pPr>
      <w:r>
        <w:rPr>
          <w:rFonts w:eastAsia="方正仿宋_GBK"/>
          <w:color w:val="000000" w:themeColor="text1"/>
          <w:kern w:val="2"/>
          <w:sz w:val="32"/>
          <w:szCs w:val="32"/>
        </w:rPr>
        <w:t>在数字经济迅猛发展的背景下，学院在先进制造、数字化技术、人工智能等领域培养的数字技能人才总量，与行业企业快速增长的用人需求存在显著差距，数字技能人才供给缺口持续扩大，学院需进一步加大相关领域高技能人才培养力度，提升服务南京市主导产业和地方经济发展的能力水平。</w:t>
      </w:r>
    </w:p>
    <w:p w:rsidR="005D4200" w:rsidRDefault="001F0475">
      <w:pPr>
        <w:pStyle w:val="3"/>
        <w:shd w:val="clear" w:color="auto" w:fill="FFFFFF"/>
        <w:spacing w:before="0" w:after="0" w:line="300" w:lineRule="auto"/>
        <w:ind w:firstLineChars="200" w:firstLine="640"/>
        <w:rPr>
          <w:rFonts w:ascii="Times New Roman" w:eastAsia="方正楷体_GBK" w:hAnsi="Times New Roman" w:cs="Times New Roman"/>
          <w:b w:val="0"/>
          <w:bCs w:val="0"/>
          <w:color w:val="000000" w:themeColor="text1"/>
          <w:kern w:val="2"/>
          <w:sz w:val="32"/>
          <w:szCs w:val="32"/>
        </w:rPr>
      </w:pPr>
      <w:r>
        <w:rPr>
          <w:rFonts w:ascii="Times New Roman" w:eastAsia="方正楷体_GBK" w:hAnsi="Times New Roman" w:cs="Times New Roman"/>
          <w:b w:val="0"/>
          <w:bCs w:val="0"/>
          <w:color w:val="000000" w:themeColor="text1"/>
          <w:kern w:val="2"/>
          <w:sz w:val="32"/>
          <w:szCs w:val="32"/>
        </w:rPr>
        <w:t>（二）原因分析</w:t>
      </w:r>
    </w:p>
    <w:p w:rsidR="005D4200" w:rsidRDefault="001F0475">
      <w:pPr>
        <w:spacing w:line="300" w:lineRule="auto"/>
        <w:ind w:firstLineChars="200" w:firstLine="640"/>
        <w:rPr>
          <w:rFonts w:eastAsia="方正仿宋_GBK"/>
          <w:color w:val="000000" w:themeColor="text1"/>
          <w:kern w:val="2"/>
          <w:sz w:val="32"/>
          <w:szCs w:val="32"/>
        </w:rPr>
      </w:pPr>
      <w:bookmarkStart w:id="2" w:name="OLE_LINK3"/>
      <w:r>
        <w:rPr>
          <w:rFonts w:eastAsia="方正仿宋_GBK"/>
          <w:color w:val="000000" w:themeColor="text1"/>
          <w:kern w:val="2"/>
          <w:sz w:val="32"/>
          <w:szCs w:val="32"/>
        </w:rPr>
        <w:t>在数字技术前沿领域，高成本实训平台的建设与维护需巨额资源投入，而院校自身资源有限，大规模建设与更新此类设施面临显著资金压力；深层次产教融合机制尚未健全，企业真实生产环境、项目资源及技术专家难以高效、成体系地融入教学全流程；</w:t>
      </w:r>
      <w:r>
        <w:rPr>
          <w:rFonts w:eastAsia="方正仿宋_GBK" w:hint="eastAsia"/>
          <w:color w:val="000000" w:themeColor="text1"/>
          <w:kern w:val="2"/>
          <w:sz w:val="32"/>
          <w:szCs w:val="32"/>
        </w:rPr>
        <w:t>“</w:t>
      </w:r>
      <w:r>
        <w:rPr>
          <w:rFonts w:eastAsia="方正仿宋_GBK"/>
          <w:color w:val="000000" w:themeColor="text1"/>
          <w:kern w:val="2"/>
          <w:sz w:val="32"/>
          <w:szCs w:val="32"/>
        </w:rPr>
        <w:t>双师型</w:t>
      </w:r>
      <w:r>
        <w:rPr>
          <w:rFonts w:eastAsia="方正仿宋_GBK" w:hint="eastAsia"/>
          <w:color w:val="000000" w:themeColor="text1"/>
          <w:kern w:val="2"/>
          <w:sz w:val="32"/>
          <w:szCs w:val="32"/>
        </w:rPr>
        <w:t>”</w:t>
      </w:r>
      <w:r>
        <w:rPr>
          <w:rFonts w:eastAsia="方正仿宋_GBK"/>
          <w:color w:val="000000" w:themeColor="text1"/>
          <w:kern w:val="2"/>
          <w:sz w:val="32"/>
          <w:szCs w:val="32"/>
        </w:rPr>
        <w:t>教师既需深厚理论功底又需丰富企业实践经验，存在数量短缺、培养周期长的问题，师资数量与质量均难以满足需求。</w:t>
      </w:r>
    </w:p>
    <w:bookmarkEnd w:id="2"/>
    <w:p w:rsidR="005D4200" w:rsidRDefault="001F0475">
      <w:pPr>
        <w:pStyle w:val="2"/>
        <w:spacing w:before="0" w:after="0" w:line="300" w:lineRule="auto"/>
        <w:ind w:firstLineChars="200" w:firstLine="640"/>
        <w:rPr>
          <w:rFonts w:ascii="方正黑体_GBK" w:eastAsia="方正黑体_GBK" w:hAnsi="黑体" w:cs="Times New Roman"/>
          <w:b w:val="0"/>
          <w:bCs w:val="0"/>
          <w:color w:val="000000" w:themeColor="text1"/>
          <w:kern w:val="2"/>
        </w:rPr>
      </w:pPr>
      <w:r>
        <w:rPr>
          <w:rFonts w:ascii="Times New Roman" w:eastAsia="方正黑体_GBK" w:hAnsi="Times New Roman" w:cs="Times New Roman"/>
          <w:b w:val="0"/>
          <w:bCs w:val="0"/>
          <w:color w:val="000000" w:themeColor="text1"/>
          <w:kern w:val="2"/>
        </w:rPr>
        <w:lastRenderedPageBreak/>
        <w:t>五、</w:t>
      </w:r>
      <w:r>
        <w:rPr>
          <w:rFonts w:ascii="方正黑体_GBK" w:eastAsia="方正黑体_GBK" w:hAnsi="黑体" w:cs="Times New Roman"/>
          <w:b w:val="0"/>
          <w:bCs w:val="0"/>
          <w:color w:val="000000" w:themeColor="text1"/>
          <w:kern w:val="2"/>
        </w:rPr>
        <w:t>有关建议</w:t>
      </w:r>
    </w:p>
    <w:p w:rsidR="005D4200" w:rsidRDefault="001F0475">
      <w:pPr>
        <w:pStyle w:val="a7"/>
        <w:widowControl/>
        <w:spacing w:line="300" w:lineRule="auto"/>
        <w:ind w:firstLineChars="200" w:firstLine="640"/>
        <w:rPr>
          <w:rFonts w:eastAsia="方正仿宋_GBK"/>
          <w:color w:val="000000" w:themeColor="text1"/>
          <w:kern w:val="2"/>
          <w:sz w:val="32"/>
          <w:szCs w:val="32"/>
        </w:rPr>
      </w:pPr>
      <w:r>
        <w:rPr>
          <w:rFonts w:eastAsia="方正仿宋_GBK"/>
          <w:color w:val="000000" w:themeColor="text1"/>
          <w:kern w:val="2"/>
          <w:sz w:val="32"/>
          <w:szCs w:val="32"/>
        </w:rPr>
        <w:t>主动融入区域、行业数字技能公共实训基地建设体系，通过政</w:t>
      </w:r>
      <w:r>
        <w:rPr>
          <w:rFonts w:eastAsia="方正仿宋_GBK"/>
          <w:color w:val="000000" w:themeColor="text1"/>
          <w:kern w:val="2"/>
          <w:sz w:val="32"/>
          <w:szCs w:val="32"/>
        </w:rPr>
        <w:t>-</w:t>
      </w:r>
      <w:r>
        <w:rPr>
          <w:rFonts w:eastAsia="方正仿宋_GBK"/>
          <w:color w:val="000000" w:themeColor="text1"/>
          <w:kern w:val="2"/>
          <w:sz w:val="32"/>
          <w:szCs w:val="32"/>
        </w:rPr>
        <w:t>校</w:t>
      </w:r>
      <w:r>
        <w:rPr>
          <w:rFonts w:eastAsia="方正仿宋_GBK"/>
          <w:color w:val="000000" w:themeColor="text1"/>
          <w:kern w:val="2"/>
          <w:sz w:val="32"/>
          <w:szCs w:val="32"/>
        </w:rPr>
        <w:t>-</w:t>
      </w:r>
      <w:r>
        <w:rPr>
          <w:rFonts w:eastAsia="方正仿宋_GBK"/>
          <w:color w:val="000000" w:themeColor="text1"/>
          <w:kern w:val="2"/>
          <w:sz w:val="32"/>
          <w:szCs w:val="32"/>
        </w:rPr>
        <w:t>企</w:t>
      </w:r>
      <w:r>
        <w:rPr>
          <w:rFonts w:eastAsia="方正仿宋_GBK"/>
          <w:color w:val="000000" w:themeColor="text1"/>
          <w:kern w:val="2"/>
          <w:sz w:val="32"/>
          <w:szCs w:val="32"/>
        </w:rPr>
        <w:t>-</w:t>
      </w:r>
      <w:r>
        <w:rPr>
          <w:rFonts w:eastAsia="方正仿宋_GBK"/>
          <w:color w:val="000000" w:themeColor="text1"/>
          <w:kern w:val="2"/>
          <w:sz w:val="32"/>
          <w:szCs w:val="32"/>
        </w:rPr>
        <w:t>行协同机制整合优质资源，共建共享高规格实训平台；深度推行</w:t>
      </w:r>
      <w:r>
        <w:rPr>
          <w:rFonts w:eastAsia="方正仿宋_GBK" w:hint="eastAsia"/>
          <w:color w:val="000000" w:themeColor="text1"/>
          <w:kern w:val="2"/>
          <w:sz w:val="32"/>
          <w:szCs w:val="32"/>
        </w:rPr>
        <w:t>“</w:t>
      </w:r>
      <w:r>
        <w:rPr>
          <w:rFonts w:eastAsia="方正仿宋_GBK"/>
          <w:color w:val="000000" w:themeColor="text1"/>
          <w:kern w:val="2"/>
          <w:sz w:val="32"/>
          <w:szCs w:val="32"/>
        </w:rPr>
        <w:t>订单式培养</w:t>
      </w:r>
      <w:bookmarkStart w:id="3" w:name="OLE_LINK4"/>
      <w:r>
        <w:rPr>
          <w:rFonts w:eastAsia="方正仿宋_GBK" w:hint="eastAsia"/>
          <w:color w:val="000000" w:themeColor="text1"/>
          <w:kern w:val="2"/>
          <w:sz w:val="32"/>
          <w:szCs w:val="32"/>
        </w:rPr>
        <w:t>”</w:t>
      </w:r>
      <w:bookmarkEnd w:id="3"/>
      <w:r>
        <w:rPr>
          <w:rFonts w:eastAsia="方正仿宋_GBK" w:hint="eastAsia"/>
          <w:color w:val="000000" w:themeColor="text1"/>
          <w:kern w:val="2"/>
          <w:sz w:val="32"/>
          <w:szCs w:val="32"/>
        </w:rPr>
        <w:t>“</w:t>
      </w:r>
      <w:r>
        <w:rPr>
          <w:rFonts w:eastAsia="方正仿宋_GBK"/>
          <w:color w:val="000000" w:themeColor="text1"/>
          <w:kern w:val="2"/>
          <w:sz w:val="32"/>
          <w:szCs w:val="32"/>
        </w:rPr>
        <w:t>冠名班</w:t>
      </w:r>
      <w:r>
        <w:rPr>
          <w:rFonts w:eastAsia="方正仿宋_GBK" w:hint="eastAsia"/>
          <w:color w:val="000000" w:themeColor="text1"/>
          <w:kern w:val="2"/>
          <w:sz w:val="32"/>
          <w:szCs w:val="32"/>
        </w:rPr>
        <w:t>”</w:t>
      </w:r>
      <w:r>
        <w:rPr>
          <w:rFonts w:eastAsia="方正仿宋_GBK"/>
          <w:color w:val="000000" w:themeColor="text1"/>
          <w:kern w:val="2"/>
          <w:sz w:val="32"/>
          <w:szCs w:val="32"/>
        </w:rPr>
        <w:t>等产教融合模式，与企业签订人才联合培养协议，精准锚定培养目标与规模，实现</w:t>
      </w:r>
      <w:r>
        <w:rPr>
          <w:rFonts w:eastAsia="方正仿宋_GBK" w:hint="eastAsia"/>
          <w:color w:val="000000" w:themeColor="text1"/>
          <w:kern w:val="2"/>
          <w:sz w:val="32"/>
          <w:szCs w:val="32"/>
        </w:rPr>
        <w:t>“</w:t>
      </w:r>
      <w:r>
        <w:rPr>
          <w:rFonts w:eastAsia="方正仿宋_GBK"/>
          <w:color w:val="000000" w:themeColor="text1"/>
          <w:kern w:val="2"/>
          <w:sz w:val="32"/>
          <w:szCs w:val="32"/>
        </w:rPr>
        <w:t>招生即招工、毕业即就业</w:t>
      </w:r>
      <w:r>
        <w:rPr>
          <w:rFonts w:eastAsia="方正仿宋_GBK" w:hint="eastAsia"/>
          <w:color w:val="000000" w:themeColor="text1"/>
          <w:kern w:val="2"/>
          <w:sz w:val="32"/>
          <w:szCs w:val="32"/>
        </w:rPr>
        <w:t>”</w:t>
      </w:r>
      <w:r>
        <w:rPr>
          <w:rFonts w:eastAsia="方正仿宋_GBK"/>
          <w:color w:val="000000" w:themeColor="text1"/>
          <w:kern w:val="2"/>
          <w:sz w:val="32"/>
          <w:szCs w:val="32"/>
        </w:rPr>
        <w:t>的一体化培养，系统嵌入企业真实项目、典型案例及技术专家资源，提升人才供给效率与规模效应；建立</w:t>
      </w:r>
      <w:r>
        <w:rPr>
          <w:rFonts w:eastAsia="方正仿宋_GBK" w:hint="eastAsia"/>
          <w:color w:val="000000" w:themeColor="text1"/>
          <w:kern w:val="2"/>
          <w:sz w:val="32"/>
          <w:szCs w:val="32"/>
        </w:rPr>
        <w:t>“</w:t>
      </w:r>
      <w:r>
        <w:rPr>
          <w:rFonts w:eastAsia="方正仿宋_GBK"/>
          <w:color w:val="000000" w:themeColor="text1"/>
          <w:kern w:val="2"/>
          <w:sz w:val="32"/>
          <w:szCs w:val="32"/>
        </w:rPr>
        <w:t>企业导师引进</w:t>
      </w:r>
      <w:r>
        <w:rPr>
          <w:rFonts w:eastAsia="方正仿宋_GBK"/>
          <w:color w:val="000000" w:themeColor="text1"/>
          <w:kern w:val="2"/>
          <w:sz w:val="32"/>
          <w:szCs w:val="32"/>
        </w:rPr>
        <w:t xml:space="preserve"> - </w:t>
      </w:r>
      <w:r>
        <w:rPr>
          <w:rFonts w:eastAsia="方正仿宋_GBK"/>
          <w:color w:val="000000" w:themeColor="text1"/>
          <w:kern w:val="2"/>
          <w:sz w:val="32"/>
          <w:szCs w:val="32"/>
        </w:rPr>
        <w:t>教师能力升级</w:t>
      </w:r>
      <w:r>
        <w:rPr>
          <w:rFonts w:eastAsia="方正仿宋_GBK" w:hint="eastAsia"/>
          <w:color w:val="000000" w:themeColor="text1"/>
          <w:kern w:val="2"/>
          <w:sz w:val="32"/>
          <w:szCs w:val="32"/>
        </w:rPr>
        <w:t>”</w:t>
      </w:r>
      <w:r>
        <w:rPr>
          <w:rFonts w:eastAsia="方正仿宋_GBK"/>
          <w:color w:val="000000" w:themeColor="text1"/>
          <w:kern w:val="2"/>
          <w:sz w:val="32"/>
          <w:szCs w:val="32"/>
        </w:rPr>
        <w:t>双轨机制，柔性引进企业技术骨干担任兼职教师或导师，实施</w:t>
      </w:r>
      <w:r>
        <w:rPr>
          <w:rFonts w:eastAsia="方正仿宋_GBK" w:hint="eastAsia"/>
          <w:color w:val="000000" w:themeColor="text1"/>
          <w:kern w:val="2"/>
          <w:sz w:val="32"/>
          <w:szCs w:val="32"/>
        </w:rPr>
        <w:t>“</w:t>
      </w:r>
      <w:r>
        <w:rPr>
          <w:rFonts w:eastAsia="方正仿宋_GBK"/>
          <w:color w:val="000000" w:themeColor="text1"/>
          <w:kern w:val="2"/>
          <w:sz w:val="32"/>
          <w:szCs w:val="32"/>
        </w:rPr>
        <w:t>教师数字化能力跃升计划</w:t>
      </w:r>
      <w:r>
        <w:rPr>
          <w:rFonts w:eastAsia="方正仿宋_GBK" w:hint="eastAsia"/>
          <w:color w:val="000000" w:themeColor="text1"/>
          <w:kern w:val="2"/>
          <w:sz w:val="32"/>
          <w:szCs w:val="32"/>
        </w:rPr>
        <w:t>”</w:t>
      </w:r>
      <w:r>
        <w:rPr>
          <w:rFonts w:eastAsia="方正仿宋_GBK"/>
          <w:color w:val="000000" w:themeColor="text1"/>
          <w:kern w:val="2"/>
          <w:sz w:val="32"/>
          <w:szCs w:val="32"/>
        </w:rPr>
        <w:t>，选派骨干教师赴头部企业开展实践锻炼、参与前沿技术培训认证，加速师资队伍能力迭代与规模扩容。</w:t>
      </w:r>
    </w:p>
    <w:bookmarkEnd w:id="1"/>
    <w:p w:rsidR="005D4200" w:rsidRDefault="001F0475">
      <w:pPr>
        <w:pStyle w:val="2"/>
        <w:spacing w:before="0" w:after="0" w:line="300" w:lineRule="auto"/>
        <w:ind w:firstLineChars="200" w:firstLine="640"/>
        <w:rPr>
          <w:rFonts w:ascii="Times New Roman" w:eastAsia="方正仿宋_GBK" w:hAnsi="Times New Roman" w:cs="Times New Roman"/>
          <w:b w:val="0"/>
          <w:bCs w:val="0"/>
          <w:color w:val="000000" w:themeColor="text1"/>
          <w:kern w:val="2"/>
        </w:rPr>
      </w:pPr>
      <w:r>
        <w:rPr>
          <w:rFonts w:ascii="Times New Roman" w:eastAsia="方正黑体_GBK" w:hAnsi="Times New Roman" w:cs="Times New Roman"/>
          <w:b w:val="0"/>
          <w:bCs w:val="0"/>
          <w:color w:val="000000" w:themeColor="text1"/>
          <w:kern w:val="2"/>
        </w:rPr>
        <w:t>六、</w:t>
      </w:r>
      <w:r>
        <w:rPr>
          <w:rFonts w:ascii="方正黑体_GBK" w:eastAsia="方正黑体_GBK" w:hAnsi="黑体" w:cs="Times New Roman"/>
          <w:b w:val="0"/>
          <w:bCs w:val="0"/>
          <w:color w:val="000000" w:themeColor="text1"/>
          <w:kern w:val="2"/>
        </w:rPr>
        <w:t>评价工作开展情况及其他需说明的情况</w:t>
      </w:r>
    </w:p>
    <w:p w:rsidR="005D4200" w:rsidRDefault="001F0475">
      <w:pPr>
        <w:pStyle w:val="3"/>
        <w:spacing w:before="0" w:after="0" w:line="300" w:lineRule="auto"/>
        <w:ind w:firstLineChars="200" w:firstLine="640"/>
        <w:rPr>
          <w:rFonts w:ascii="Times New Roman" w:eastAsia="方正楷体_GBK" w:hAnsi="Times New Roman" w:cs="Times New Roman"/>
          <w:b w:val="0"/>
          <w:bCs w:val="0"/>
          <w:color w:val="000000" w:themeColor="text1"/>
          <w:kern w:val="2"/>
          <w:sz w:val="32"/>
          <w:szCs w:val="32"/>
        </w:rPr>
      </w:pPr>
      <w:r>
        <w:rPr>
          <w:rFonts w:ascii="Times New Roman" w:eastAsia="方正楷体_GBK" w:hAnsi="Times New Roman" w:cs="Times New Roman"/>
          <w:b w:val="0"/>
          <w:bCs w:val="0"/>
          <w:color w:val="000000" w:themeColor="text1"/>
          <w:kern w:val="2"/>
          <w:sz w:val="32"/>
          <w:szCs w:val="32"/>
        </w:rPr>
        <w:t>（一）自评价工作开展情况</w:t>
      </w:r>
    </w:p>
    <w:p w:rsidR="005D4200" w:rsidRDefault="001F0475">
      <w:pPr>
        <w:spacing w:line="300" w:lineRule="auto"/>
        <w:ind w:firstLineChars="200" w:firstLine="643"/>
        <w:rPr>
          <w:rFonts w:eastAsia="方正仿宋_GBK"/>
          <w:b/>
          <w:bCs/>
          <w:color w:val="000000" w:themeColor="text1"/>
          <w:kern w:val="2"/>
          <w:sz w:val="32"/>
          <w:szCs w:val="32"/>
        </w:rPr>
      </w:pPr>
      <w:r>
        <w:rPr>
          <w:rFonts w:eastAsia="方正仿宋_GBK"/>
          <w:b/>
          <w:bCs/>
          <w:color w:val="000000" w:themeColor="text1"/>
          <w:kern w:val="2"/>
          <w:sz w:val="32"/>
          <w:szCs w:val="32"/>
        </w:rPr>
        <w:t xml:space="preserve">1. </w:t>
      </w:r>
      <w:r>
        <w:rPr>
          <w:rFonts w:eastAsia="方正仿宋_GBK"/>
          <w:b/>
          <w:bCs/>
          <w:color w:val="000000" w:themeColor="text1"/>
          <w:kern w:val="2"/>
          <w:sz w:val="32"/>
          <w:szCs w:val="32"/>
        </w:rPr>
        <w:t>自评价基本情况</w:t>
      </w:r>
    </w:p>
    <w:p w:rsidR="005D4200" w:rsidRDefault="001F0475">
      <w:pPr>
        <w:spacing w:line="300" w:lineRule="auto"/>
        <w:ind w:firstLineChars="200" w:firstLine="640"/>
        <w:rPr>
          <w:rFonts w:eastAsia="方正仿宋_GBK"/>
          <w:color w:val="000000" w:themeColor="text1"/>
          <w:sz w:val="32"/>
          <w:szCs w:val="32"/>
        </w:rPr>
      </w:pPr>
      <w:r>
        <w:rPr>
          <w:rFonts w:eastAsia="方正仿宋_GBK"/>
          <w:color w:val="000000" w:themeColor="text1"/>
          <w:kern w:val="2"/>
          <w:sz w:val="32"/>
          <w:szCs w:val="32"/>
        </w:rPr>
        <w:t>本次绩效自评价紧紧围绕</w:t>
      </w:r>
      <w:r>
        <w:rPr>
          <w:rFonts w:eastAsia="方正仿宋_GBK"/>
          <w:color w:val="000000" w:themeColor="text1"/>
          <w:kern w:val="2"/>
          <w:sz w:val="32"/>
          <w:szCs w:val="32"/>
        </w:rPr>
        <w:t>2024</w:t>
      </w:r>
      <w:r>
        <w:rPr>
          <w:rFonts w:eastAsia="方正仿宋_GBK"/>
          <w:color w:val="000000" w:themeColor="text1"/>
          <w:kern w:val="2"/>
          <w:sz w:val="32"/>
          <w:szCs w:val="32"/>
        </w:rPr>
        <w:t>年度全民数字素养与技能培训基地建设项目资金预算绩效展开，核心目的在于持续提升专项资金预算绩效管理水平，确保财政资金使用效益最大化。评价工作始终坚守科学规范、客观公正的原则，绩效评价指标体系全面涵盖决策、过程、产出、效益四大关键维度，对项目进行全方位、深层次剖析。自</w:t>
      </w:r>
      <w:r>
        <w:rPr>
          <w:rFonts w:eastAsia="方正仿宋_GBK"/>
          <w:color w:val="000000" w:themeColor="text1"/>
          <w:sz w:val="32"/>
          <w:szCs w:val="32"/>
        </w:rPr>
        <w:t>评价过程按照自评价指标和评分标准严格评价。</w:t>
      </w:r>
    </w:p>
    <w:p w:rsidR="005D4200" w:rsidRDefault="001F0475">
      <w:pPr>
        <w:pStyle w:val="Style13"/>
        <w:numPr>
          <w:ilvl w:val="0"/>
          <w:numId w:val="1"/>
        </w:numPr>
        <w:spacing w:before="0" w:after="0" w:line="300" w:lineRule="auto"/>
        <w:ind w:firstLineChars="200" w:firstLine="643"/>
        <w:rPr>
          <w:rFonts w:ascii="Times New Roman" w:eastAsia="方正仿宋_GBK" w:hAnsi="Times New Roman" w:cs="Times New Roman"/>
          <w:b/>
          <w:bCs/>
          <w:color w:val="000000" w:themeColor="text1"/>
          <w:kern w:val="2"/>
          <w:sz w:val="32"/>
          <w:szCs w:val="32"/>
        </w:rPr>
      </w:pPr>
      <w:r>
        <w:rPr>
          <w:rFonts w:ascii="Times New Roman" w:eastAsia="方正仿宋_GBK" w:hAnsi="Times New Roman" w:cs="Times New Roman"/>
          <w:b/>
          <w:bCs/>
          <w:color w:val="000000" w:themeColor="text1"/>
          <w:kern w:val="2"/>
          <w:sz w:val="32"/>
          <w:szCs w:val="32"/>
        </w:rPr>
        <w:t>自评价实施情况</w:t>
      </w:r>
    </w:p>
    <w:p w:rsidR="005D4200" w:rsidRDefault="001F0475">
      <w:pPr>
        <w:pStyle w:val="Style13"/>
        <w:spacing w:before="0" w:after="0" w:line="300" w:lineRule="auto"/>
        <w:ind w:firstLineChars="200" w:firstLine="640"/>
        <w:rPr>
          <w:rFonts w:ascii="Times New Roman" w:eastAsia="方正仿宋_GBK" w:hAnsi="Times New Roman" w:cs="Times New Roman"/>
          <w:color w:val="000000" w:themeColor="text1"/>
          <w:kern w:val="2"/>
          <w:sz w:val="32"/>
          <w:szCs w:val="32"/>
        </w:rPr>
      </w:pPr>
      <w:r>
        <w:rPr>
          <w:rFonts w:ascii="Times New Roman" w:eastAsia="方正仿宋_GBK" w:hAnsi="Times New Roman" w:cs="Times New Roman"/>
          <w:color w:val="000000" w:themeColor="text1"/>
          <w:kern w:val="2"/>
          <w:sz w:val="32"/>
          <w:szCs w:val="32"/>
        </w:rPr>
        <w:t>本次自评价包括调研沟通、收集评价资料、确定指标体系、明确绩效评价方法、形成评价方案、对照体系评分、撰写评价报</w:t>
      </w:r>
      <w:r>
        <w:rPr>
          <w:rFonts w:ascii="Times New Roman" w:eastAsia="方正仿宋_GBK" w:hAnsi="Times New Roman" w:cs="Times New Roman"/>
          <w:color w:val="000000" w:themeColor="text1"/>
          <w:kern w:val="2"/>
          <w:sz w:val="32"/>
          <w:szCs w:val="32"/>
        </w:rPr>
        <w:lastRenderedPageBreak/>
        <w:t>告等步骤。指标体系选取有代表性、且</w:t>
      </w:r>
      <w:r>
        <w:rPr>
          <w:rFonts w:ascii="Times New Roman" w:eastAsia="方正仿宋_GBK" w:hAnsi="Times New Roman" w:cs="Times New Roman"/>
          <w:color w:val="000000" w:themeColor="text1"/>
          <w:sz w:val="32"/>
          <w:szCs w:val="32"/>
        </w:rPr>
        <w:t>能代表专项资金绩效的核心指标，指标的评分根据各项指标在评价体系中的重要程度确定。绩效评价结果实施百分制和四级分类：等级为优、良、中、差。</w:t>
      </w:r>
      <w:r>
        <w:rPr>
          <w:rFonts w:ascii="Times New Roman" w:eastAsia="方正仿宋_GBK" w:hAnsi="Times New Roman" w:cs="Times New Roman"/>
          <w:color w:val="000000" w:themeColor="text1"/>
          <w:sz w:val="32"/>
          <w:szCs w:val="32"/>
          <w:lang w:bidi="ar"/>
        </w:rPr>
        <w:t xml:space="preserve"> </w:t>
      </w:r>
    </w:p>
    <w:p w:rsidR="005D4200" w:rsidRDefault="001F0475">
      <w:pPr>
        <w:pStyle w:val="2"/>
        <w:spacing w:before="0" w:after="0" w:line="300" w:lineRule="auto"/>
        <w:ind w:firstLineChars="200" w:firstLine="640"/>
        <w:rPr>
          <w:rFonts w:ascii="Times New Roman" w:eastAsia="方正楷体_GBK" w:hAnsi="Times New Roman" w:cs="Times New Roman"/>
          <w:b w:val="0"/>
          <w:bCs w:val="0"/>
          <w:color w:val="000000" w:themeColor="text1"/>
          <w:kern w:val="2"/>
        </w:rPr>
      </w:pPr>
      <w:r>
        <w:rPr>
          <w:rFonts w:ascii="Times New Roman" w:eastAsia="方正楷体_GBK" w:hAnsi="Times New Roman" w:cs="Times New Roman"/>
          <w:b w:val="0"/>
          <w:bCs w:val="0"/>
          <w:color w:val="000000" w:themeColor="text1"/>
          <w:kern w:val="2"/>
        </w:rPr>
        <w:t>（二）其他需要说明的情况</w:t>
      </w:r>
    </w:p>
    <w:p w:rsidR="005D4200" w:rsidRDefault="001F0475">
      <w:pPr>
        <w:widowControl/>
        <w:spacing w:line="300" w:lineRule="auto"/>
        <w:ind w:firstLineChars="200" w:firstLine="640"/>
        <w:jc w:val="left"/>
        <w:rPr>
          <w:rFonts w:eastAsia="方正仿宋_GBK"/>
          <w:color w:val="000000" w:themeColor="text1"/>
          <w:sz w:val="32"/>
          <w:szCs w:val="32"/>
          <w:lang w:bidi="ar"/>
        </w:rPr>
      </w:pPr>
      <w:r>
        <w:rPr>
          <w:rFonts w:eastAsia="方正仿宋_GBK"/>
          <w:color w:val="000000" w:themeColor="text1"/>
          <w:sz w:val="32"/>
          <w:szCs w:val="32"/>
        </w:rPr>
        <w:t>本单位无其他要说明的情况。</w:t>
      </w:r>
    </w:p>
    <w:p w:rsidR="005D4200" w:rsidRDefault="001F0475">
      <w:pPr>
        <w:pStyle w:val="Style13"/>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附件</w:t>
      </w:r>
      <w:r>
        <w:rPr>
          <w:rFonts w:eastAsia="方正仿宋_GBK" w:hint="eastAsia"/>
          <w:color w:val="000000" w:themeColor="text1"/>
        </w:rPr>
        <w:t>：</w:t>
      </w:r>
      <w:r>
        <w:rPr>
          <w:rFonts w:ascii="方正仿宋_GBK" w:eastAsia="方正仿宋_GBK" w:hAnsi="方正仿宋_GBK" w:cs="方正仿宋_GBK" w:hint="eastAsia"/>
          <w:color w:val="000000" w:themeColor="text1"/>
          <w:sz w:val="32"/>
          <w:szCs w:val="32"/>
        </w:rPr>
        <w:t>指标体系得分情况</w:t>
      </w:r>
    </w:p>
    <w:p w:rsidR="005D4200" w:rsidRDefault="005D4200">
      <w:pPr>
        <w:pStyle w:val="Style13"/>
        <w:rPr>
          <w:rFonts w:ascii="Times New Roman" w:hAnsi="Times New Roman" w:cs="Times New Roman"/>
          <w:b/>
          <w:bCs/>
          <w:color w:val="000000" w:themeColor="text1"/>
        </w:rPr>
      </w:pPr>
    </w:p>
    <w:p w:rsidR="005D4200" w:rsidRDefault="005D4200">
      <w:pPr>
        <w:widowControl/>
        <w:ind w:firstLineChars="200" w:firstLine="640"/>
        <w:jc w:val="right"/>
        <w:rPr>
          <w:rFonts w:eastAsia="方正仿宋_GBK"/>
          <w:color w:val="000000" w:themeColor="text1"/>
          <w:sz w:val="32"/>
          <w:szCs w:val="32"/>
        </w:rPr>
        <w:sectPr w:rsidR="005D4200">
          <w:footerReference w:type="default" r:id="rId8"/>
          <w:pgSz w:w="11906" w:h="16838"/>
          <w:pgMar w:top="1587" w:right="1361" w:bottom="1587" w:left="1361" w:header="708" w:footer="709" w:gutter="0"/>
          <w:cols w:space="720" w:equalWidth="0">
            <w:col w:w="9026"/>
          </w:cols>
          <w:docGrid w:linePitch="360"/>
        </w:sectPr>
      </w:pPr>
    </w:p>
    <w:p w:rsidR="005D4200" w:rsidRPr="00CE5357" w:rsidRDefault="001F0475">
      <w:pPr>
        <w:rPr>
          <w:rFonts w:ascii="方正黑体_GBK" w:eastAsia="方正黑体_GBK" w:hAnsi="黑体" w:cs="黑体"/>
          <w:bCs/>
          <w:color w:val="000000" w:themeColor="text1"/>
          <w:sz w:val="32"/>
          <w:szCs w:val="32"/>
        </w:rPr>
      </w:pPr>
      <w:r w:rsidRPr="00CE5357">
        <w:rPr>
          <w:rFonts w:ascii="方正黑体_GBK" w:eastAsia="方正黑体_GBK" w:hAnsi="黑体" w:cs="黑体" w:hint="eastAsia"/>
          <w:bCs/>
          <w:color w:val="000000" w:themeColor="text1"/>
          <w:sz w:val="32"/>
          <w:szCs w:val="32"/>
        </w:rPr>
        <w:lastRenderedPageBreak/>
        <w:t>附件</w:t>
      </w:r>
    </w:p>
    <w:p w:rsidR="005D4200" w:rsidRPr="00DF6A2B" w:rsidRDefault="00CE5357" w:rsidP="00CE5357">
      <w:pPr>
        <w:jc w:val="center"/>
        <w:rPr>
          <w:rFonts w:ascii="方正小标宋_GBK" w:eastAsia="方正小标宋_GBK" w:hAnsi="方正小标宋_GBK" w:cs="方正小标宋_GBK"/>
          <w:color w:val="000000" w:themeColor="text1"/>
          <w:sz w:val="36"/>
          <w:szCs w:val="36"/>
        </w:rPr>
      </w:pPr>
      <w:r>
        <w:rPr>
          <w:rFonts w:ascii="方正小标宋_GBK" w:eastAsia="方正小标宋_GBK" w:hAnsi="方正小标宋_GBK" w:cs="方正小标宋_GBK" w:hint="eastAsia"/>
          <w:color w:val="000000" w:themeColor="text1"/>
          <w:sz w:val="44"/>
          <w:szCs w:val="44"/>
        </w:rPr>
        <w:t xml:space="preserve">                             </w:t>
      </w:r>
      <w:r w:rsidR="00DF6A2B">
        <w:rPr>
          <w:rFonts w:ascii="方正小标宋_GBK" w:eastAsia="方正小标宋_GBK" w:hAnsi="方正小标宋_GBK" w:cs="方正小标宋_GBK"/>
          <w:color w:val="000000" w:themeColor="text1"/>
          <w:sz w:val="44"/>
          <w:szCs w:val="44"/>
        </w:rPr>
        <w:t xml:space="preserve">      </w:t>
      </w:r>
      <w:bookmarkStart w:id="4" w:name="_GoBack"/>
      <w:r w:rsidR="001F0475" w:rsidRPr="00DF6A2B">
        <w:rPr>
          <w:rFonts w:ascii="方正小标宋_GBK" w:eastAsia="方正小标宋_GBK" w:hAnsi="方正小标宋_GBK" w:cs="方正小标宋_GBK" w:hint="eastAsia"/>
          <w:color w:val="000000" w:themeColor="text1"/>
          <w:sz w:val="36"/>
          <w:szCs w:val="36"/>
        </w:rPr>
        <w:t>指标体系得分情况</w:t>
      </w:r>
    </w:p>
    <w:tbl>
      <w:tblPr>
        <w:tblW w:w="13682" w:type="dxa"/>
        <w:tblLayout w:type="fixed"/>
        <w:tblCellMar>
          <w:left w:w="0" w:type="dxa"/>
          <w:right w:w="0" w:type="dxa"/>
        </w:tblCellMar>
        <w:tblLook w:val="04A0" w:firstRow="1" w:lastRow="0" w:firstColumn="1" w:lastColumn="0" w:noHBand="0" w:noVBand="1"/>
      </w:tblPr>
      <w:tblGrid>
        <w:gridCol w:w="984"/>
        <w:gridCol w:w="1116"/>
        <w:gridCol w:w="2292"/>
        <w:gridCol w:w="1368"/>
        <w:gridCol w:w="790"/>
        <w:gridCol w:w="6505"/>
        <w:gridCol w:w="627"/>
      </w:tblGrid>
      <w:tr w:rsidR="005D4200">
        <w:trPr>
          <w:trHeight w:val="380"/>
        </w:trPr>
        <w:tc>
          <w:tcPr>
            <w:tcW w:w="98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bookmarkEnd w:id="4"/>
          <w:p w:rsidR="005D4200" w:rsidRDefault="001F0475">
            <w:pPr>
              <w:widowControl/>
              <w:jc w:val="center"/>
              <w:textAlignment w:val="center"/>
              <w:rPr>
                <w:rFonts w:ascii="宋体" w:hAnsi="宋体" w:cs="宋体"/>
                <w:b/>
                <w:color w:val="000000"/>
                <w:sz w:val="20"/>
                <w:szCs w:val="20"/>
              </w:rPr>
            </w:pPr>
            <w:r>
              <w:rPr>
                <w:rFonts w:ascii="宋体" w:hAnsi="宋体" w:cs="宋体" w:hint="eastAsia"/>
                <w:b/>
                <w:color w:val="000000"/>
                <w:sz w:val="20"/>
                <w:szCs w:val="20"/>
                <w:lang w:bidi="ar"/>
              </w:rPr>
              <w:t>一级指标</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b/>
                <w:color w:val="000000"/>
                <w:sz w:val="20"/>
                <w:szCs w:val="20"/>
              </w:rPr>
            </w:pPr>
            <w:r>
              <w:rPr>
                <w:rFonts w:ascii="宋体" w:hAnsi="宋体" w:cs="宋体" w:hint="eastAsia"/>
                <w:b/>
                <w:color w:val="000000"/>
                <w:sz w:val="20"/>
                <w:szCs w:val="20"/>
                <w:lang w:bidi="ar"/>
              </w:rPr>
              <w:t>二级指标</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b/>
                <w:color w:val="000000"/>
                <w:sz w:val="20"/>
                <w:szCs w:val="20"/>
              </w:rPr>
            </w:pPr>
            <w:r>
              <w:rPr>
                <w:rFonts w:ascii="宋体" w:hAnsi="宋体" w:cs="宋体" w:hint="eastAsia"/>
                <w:b/>
                <w:color w:val="000000"/>
                <w:sz w:val="20"/>
                <w:szCs w:val="20"/>
                <w:lang w:bidi="ar"/>
              </w:rPr>
              <w:t>三级指标</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b/>
                <w:color w:val="000000"/>
                <w:sz w:val="20"/>
                <w:szCs w:val="20"/>
              </w:rPr>
            </w:pPr>
            <w:r>
              <w:rPr>
                <w:rFonts w:ascii="宋体" w:hAnsi="宋体" w:cs="宋体" w:hint="eastAsia"/>
                <w:b/>
                <w:color w:val="000000"/>
                <w:sz w:val="20"/>
                <w:szCs w:val="20"/>
                <w:lang w:bidi="ar"/>
              </w:rPr>
              <w:t>指标值</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b/>
                <w:color w:val="000000"/>
                <w:sz w:val="20"/>
                <w:szCs w:val="20"/>
              </w:rPr>
            </w:pPr>
            <w:r>
              <w:rPr>
                <w:rFonts w:ascii="宋体" w:hAnsi="宋体" w:cs="宋体" w:hint="eastAsia"/>
                <w:b/>
                <w:color w:val="000000"/>
                <w:sz w:val="20"/>
                <w:szCs w:val="20"/>
                <w:lang w:bidi="ar"/>
              </w:rPr>
              <w:t>分值</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b/>
                <w:color w:val="000000"/>
                <w:sz w:val="20"/>
                <w:szCs w:val="20"/>
              </w:rPr>
            </w:pPr>
            <w:r>
              <w:rPr>
                <w:rFonts w:ascii="宋体" w:hAnsi="宋体" w:cs="宋体" w:hint="eastAsia"/>
                <w:b/>
                <w:color w:val="000000"/>
                <w:sz w:val="20"/>
                <w:szCs w:val="20"/>
                <w:lang w:bidi="ar"/>
              </w:rPr>
              <w:t>评分依据</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b/>
                <w:color w:val="000000"/>
                <w:sz w:val="20"/>
                <w:szCs w:val="20"/>
              </w:rPr>
            </w:pPr>
            <w:r>
              <w:rPr>
                <w:rFonts w:ascii="宋体" w:hAnsi="宋体" w:cs="宋体" w:hint="eastAsia"/>
                <w:b/>
                <w:color w:val="000000"/>
                <w:sz w:val="20"/>
                <w:szCs w:val="20"/>
                <w:lang w:bidi="ar"/>
              </w:rPr>
              <w:t>得分</w:t>
            </w:r>
          </w:p>
        </w:tc>
      </w:tr>
      <w:tr w:rsidR="005D4200">
        <w:trPr>
          <w:trHeight w:val="1706"/>
        </w:trPr>
        <w:tc>
          <w:tcPr>
            <w:tcW w:w="984"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决策</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项目立项</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立项程序规范性</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规范</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评价要点：</w:t>
            </w:r>
            <w:r>
              <w:rPr>
                <w:rFonts w:ascii="宋体" w:hAnsi="宋体" w:cs="宋体" w:hint="eastAsia"/>
                <w:color w:val="000000"/>
                <w:sz w:val="18"/>
                <w:szCs w:val="18"/>
                <w:lang w:bidi="ar"/>
              </w:rPr>
              <w:br/>
              <w:t xml:space="preserve">    ①项目是否按照规定的程序申请设立；</w:t>
            </w:r>
            <w:r>
              <w:rPr>
                <w:rFonts w:ascii="宋体" w:hAnsi="宋体" w:cs="宋体" w:hint="eastAsia"/>
                <w:color w:val="000000"/>
                <w:sz w:val="18"/>
                <w:szCs w:val="18"/>
                <w:lang w:bidi="ar"/>
              </w:rPr>
              <w:br/>
              <w:t xml:space="preserve">    ②审批文件、材料是否符合相关要求；</w:t>
            </w:r>
            <w:r>
              <w:rPr>
                <w:rFonts w:ascii="宋体" w:hAnsi="宋体" w:cs="宋体" w:hint="eastAsia"/>
                <w:color w:val="000000"/>
                <w:sz w:val="18"/>
                <w:szCs w:val="18"/>
                <w:lang w:bidi="ar"/>
              </w:rPr>
              <w:br/>
              <w:t xml:space="preserve">    ③事前是否已经过必要的可行性研究、专家论证、风险评估、绩效评估、集体决策。</w:t>
            </w:r>
            <w:r>
              <w:rPr>
                <w:rFonts w:ascii="宋体" w:hAnsi="宋体" w:cs="宋体" w:hint="eastAsia"/>
                <w:color w:val="000000"/>
                <w:sz w:val="18"/>
                <w:szCs w:val="18"/>
                <w:lang w:bidi="ar"/>
              </w:rPr>
              <w:br/>
              <w:t xml:space="preserve">    评分规则：以上评价要点各占1/3权重，每个要点执行情况分达成、部分达成、未达成三档，按100%-80%（含）、80%-60%（含）、60%-0%评分。</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r>
      <w:tr w:rsidR="005D4200">
        <w:trPr>
          <w:trHeight w:val="219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立项依据充分性</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充分</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评价要点：</w:t>
            </w:r>
            <w:r>
              <w:rPr>
                <w:rFonts w:ascii="宋体" w:hAnsi="宋体" w:cs="宋体" w:hint="eastAsia"/>
                <w:color w:val="000000"/>
                <w:sz w:val="18"/>
                <w:szCs w:val="18"/>
                <w:lang w:bidi="ar"/>
              </w:rPr>
              <w:br/>
              <w:t xml:space="preserve">    ①项目立项是否符合国家法律法规、国民经济发展规划和相关政策；</w:t>
            </w:r>
            <w:r>
              <w:rPr>
                <w:rFonts w:ascii="宋体" w:hAnsi="宋体" w:cs="宋体" w:hint="eastAsia"/>
                <w:color w:val="000000"/>
                <w:sz w:val="18"/>
                <w:szCs w:val="18"/>
                <w:lang w:bidi="ar"/>
              </w:rPr>
              <w:br/>
              <w:t xml:space="preserve">    ②项目立项是否符合行业发展规划和政策要求；</w:t>
            </w:r>
            <w:r>
              <w:rPr>
                <w:rFonts w:ascii="宋体" w:hAnsi="宋体" w:cs="宋体" w:hint="eastAsia"/>
                <w:color w:val="000000"/>
                <w:sz w:val="18"/>
                <w:szCs w:val="18"/>
                <w:lang w:bidi="ar"/>
              </w:rPr>
              <w:br/>
              <w:t xml:space="preserve">    ③项目立项是否与部门职责范围相符，属于部门履职所需；</w:t>
            </w:r>
            <w:r>
              <w:rPr>
                <w:rFonts w:ascii="宋体" w:hAnsi="宋体" w:cs="宋体" w:hint="eastAsia"/>
                <w:color w:val="000000"/>
                <w:sz w:val="18"/>
                <w:szCs w:val="18"/>
                <w:lang w:bidi="ar"/>
              </w:rPr>
              <w:br/>
              <w:t xml:space="preserve">    ④项目是否属于公共财政支持范围，是否符合中央、地方事权支出责任划分原则；</w:t>
            </w:r>
            <w:r>
              <w:rPr>
                <w:rFonts w:ascii="宋体" w:hAnsi="宋体" w:cs="宋体" w:hint="eastAsia"/>
                <w:color w:val="000000"/>
                <w:sz w:val="18"/>
                <w:szCs w:val="18"/>
                <w:lang w:bidi="ar"/>
              </w:rPr>
              <w:br/>
              <w:t xml:space="preserve">    ⑤项目是否与相关部门同类项目或部门内部相关项目重复。</w:t>
            </w:r>
            <w:r>
              <w:rPr>
                <w:rFonts w:ascii="宋体" w:hAnsi="宋体" w:cs="宋体" w:hint="eastAsia"/>
                <w:color w:val="000000"/>
                <w:sz w:val="18"/>
                <w:szCs w:val="18"/>
                <w:lang w:bidi="ar"/>
              </w:rPr>
              <w:br/>
              <w:t xml:space="preserve">    评分规则：以上评价要点各占20%权重，每个要点执行情况分达成、部分达成、未达成三档，按100%-80%（含）、80%-60%（含）、60%-0%评分。</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r>
      <w:tr w:rsidR="005D4200">
        <w:trPr>
          <w:trHeight w:val="20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绩效目标</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绩效目标合理性</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合理</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评价要点：</w:t>
            </w:r>
            <w:r>
              <w:rPr>
                <w:rFonts w:ascii="宋体" w:hAnsi="宋体" w:cs="宋体" w:hint="eastAsia"/>
                <w:color w:val="000000"/>
                <w:sz w:val="18"/>
                <w:szCs w:val="18"/>
                <w:lang w:bidi="ar"/>
              </w:rPr>
              <w:br/>
              <w:t xml:space="preserve">    ①项目是否有绩效目标；</w:t>
            </w:r>
            <w:r>
              <w:rPr>
                <w:rFonts w:ascii="宋体" w:hAnsi="宋体" w:cs="宋体" w:hint="eastAsia"/>
                <w:color w:val="000000"/>
                <w:sz w:val="18"/>
                <w:szCs w:val="18"/>
                <w:lang w:bidi="ar"/>
              </w:rPr>
              <w:br/>
              <w:t xml:space="preserve">    ②项目绩效目标与实际工作内容是否具有相关性；</w:t>
            </w:r>
            <w:r>
              <w:rPr>
                <w:rFonts w:ascii="宋体" w:hAnsi="宋体" w:cs="宋体" w:hint="eastAsia"/>
                <w:color w:val="000000"/>
                <w:sz w:val="18"/>
                <w:szCs w:val="18"/>
                <w:lang w:bidi="ar"/>
              </w:rPr>
              <w:br/>
              <w:t xml:space="preserve">    ③项目预期产出效益和效果是否符合正常的业绩水平；</w:t>
            </w:r>
            <w:r>
              <w:rPr>
                <w:rFonts w:ascii="宋体" w:hAnsi="宋体" w:cs="宋体" w:hint="eastAsia"/>
                <w:color w:val="000000"/>
                <w:sz w:val="18"/>
                <w:szCs w:val="18"/>
                <w:lang w:bidi="ar"/>
              </w:rPr>
              <w:br/>
              <w:t xml:space="preserve">    ④是否与预算确定的项目投资额或资金量相匹配。</w:t>
            </w:r>
            <w:r>
              <w:rPr>
                <w:rFonts w:ascii="宋体" w:hAnsi="宋体" w:cs="宋体" w:hint="eastAsia"/>
                <w:color w:val="000000"/>
                <w:sz w:val="18"/>
                <w:szCs w:val="18"/>
                <w:lang w:bidi="ar"/>
              </w:rPr>
              <w:br/>
              <w:t xml:space="preserve">    评分规则：以上评价要点各占25%权重，每个要点执行情况分达成、部分达成、未达成三档，按100%-80%（含）、80%-60%（含）、60%-0%评分。</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r>
      <w:tr w:rsidR="005D4200">
        <w:trPr>
          <w:trHeight w:val="15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绩效指标明确性</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明确</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评价要点：</w:t>
            </w:r>
            <w:r>
              <w:rPr>
                <w:rFonts w:ascii="宋体" w:hAnsi="宋体" w:cs="宋体" w:hint="eastAsia"/>
                <w:color w:val="000000"/>
                <w:sz w:val="18"/>
                <w:szCs w:val="18"/>
                <w:lang w:bidi="ar"/>
              </w:rPr>
              <w:br/>
              <w:t xml:space="preserve">    ①是否将项目绩效目标细化分解为具体的绩效指标；</w:t>
            </w:r>
            <w:r>
              <w:rPr>
                <w:rFonts w:ascii="宋体" w:hAnsi="宋体" w:cs="宋体" w:hint="eastAsia"/>
                <w:color w:val="000000"/>
                <w:sz w:val="18"/>
                <w:szCs w:val="18"/>
                <w:lang w:bidi="ar"/>
              </w:rPr>
              <w:br/>
              <w:t xml:space="preserve">    ②是否通过清晰、可衡量的指标值予以体现；</w:t>
            </w:r>
            <w:r>
              <w:rPr>
                <w:rFonts w:ascii="宋体" w:hAnsi="宋体" w:cs="宋体" w:hint="eastAsia"/>
                <w:color w:val="000000"/>
                <w:sz w:val="18"/>
                <w:szCs w:val="18"/>
                <w:lang w:bidi="ar"/>
              </w:rPr>
              <w:br/>
              <w:t xml:space="preserve">    ③是否与项目目标任务数或计划数相对应。</w:t>
            </w:r>
            <w:r>
              <w:rPr>
                <w:rFonts w:ascii="宋体" w:hAnsi="宋体" w:cs="宋体" w:hint="eastAsia"/>
                <w:color w:val="000000"/>
                <w:sz w:val="18"/>
                <w:szCs w:val="18"/>
                <w:lang w:bidi="ar"/>
              </w:rPr>
              <w:br/>
              <w:t xml:space="preserve">    评分规则：以上评价要点各占1/3权重，每个要点执行情况分达成、部分达成、未达成三档，按100%-80%（含）、80%-60%（含）、60%-0%评分。      </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r>
      <w:tr w:rsidR="005D4200">
        <w:trPr>
          <w:trHeight w:val="1684"/>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资金投入</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预算编制科学性</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科学</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评价要点：</w:t>
            </w:r>
            <w:r>
              <w:rPr>
                <w:rFonts w:ascii="宋体" w:hAnsi="宋体" w:cs="宋体" w:hint="eastAsia"/>
                <w:color w:val="000000"/>
                <w:sz w:val="18"/>
                <w:szCs w:val="18"/>
                <w:lang w:bidi="ar"/>
              </w:rPr>
              <w:br/>
              <w:t xml:space="preserve">    ①预算编制是否经过科学论证；</w:t>
            </w:r>
            <w:r>
              <w:rPr>
                <w:rFonts w:ascii="宋体" w:hAnsi="宋体" w:cs="宋体" w:hint="eastAsia"/>
                <w:color w:val="000000"/>
                <w:sz w:val="18"/>
                <w:szCs w:val="18"/>
                <w:lang w:bidi="ar"/>
              </w:rPr>
              <w:br/>
              <w:t xml:space="preserve">    ②预算内容与项目内容是否匹配；</w:t>
            </w:r>
            <w:r>
              <w:rPr>
                <w:rFonts w:ascii="宋体" w:hAnsi="宋体" w:cs="宋体" w:hint="eastAsia"/>
                <w:color w:val="000000"/>
                <w:sz w:val="18"/>
                <w:szCs w:val="18"/>
                <w:lang w:bidi="ar"/>
              </w:rPr>
              <w:br/>
              <w:t xml:space="preserve">    ③预算额度测算依据是否充分，是否按照标准编制；</w:t>
            </w:r>
            <w:r>
              <w:rPr>
                <w:rFonts w:ascii="宋体" w:hAnsi="宋体" w:cs="宋体" w:hint="eastAsia"/>
                <w:color w:val="000000"/>
                <w:sz w:val="18"/>
                <w:szCs w:val="18"/>
                <w:lang w:bidi="ar"/>
              </w:rPr>
              <w:br/>
              <w:t xml:space="preserve">    ④预算确定的项目投资额或资金量是否与工作任务相匹配。</w:t>
            </w:r>
            <w:r>
              <w:rPr>
                <w:rFonts w:ascii="宋体" w:hAnsi="宋体" w:cs="宋体" w:hint="eastAsia"/>
                <w:color w:val="000000"/>
                <w:sz w:val="18"/>
                <w:szCs w:val="18"/>
                <w:lang w:bidi="ar"/>
              </w:rPr>
              <w:br/>
              <w:t xml:space="preserve">    评分规则：以上评价要点各占25%权重，每个要点执行情况分达成、部分达成、未达成三档，按100%-80%（含）、80%-60%（含）、60%-0%评分。</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1.6</w:t>
            </w:r>
          </w:p>
        </w:tc>
      </w:tr>
      <w:tr w:rsidR="005D4200">
        <w:trPr>
          <w:trHeight w:val="1202"/>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资金分配合理性</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合理</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评价要点：</w:t>
            </w:r>
            <w:r>
              <w:rPr>
                <w:rFonts w:ascii="宋体" w:hAnsi="宋体" w:cs="宋体" w:hint="eastAsia"/>
                <w:color w:val="000000"/>
                <w:sz w:val="18"/>
                <w:szCs w:val="18"/>
                <w:lang w:bidi="ar"/>
              </w:rPr>
              <w:br/>
              <w:t xml:space="preserve">    ①预算资金分配依据是否充分；</w:t>
            </w:r>
            <w:r>
              <w:rPr>
                <w:rFonts w:ascii="宋体" w:hAnsi="宋体" w:cs="宋体" w:hint="eastAsia"/>
                <w:color w:val="000000"/>
                <w:sz w:val="18"/>
                <w:szCs w:val="18"/>
                <w:lang w:bidi="ar"/>
              </w:rPr>
              <w:br/>
              <w:t xml:space="preserve">    ②资金分配额度是否合理，与项目单位或地方实际是否相适应。</w:t>
            </w:r>
            <w:r>
              <w:rPr>
                <w:rFonts w:ascii="宋体" w:hAnsi="宋体" w:cs="宋体" w:hint="eastAsia"/>
                <w:color w:val="000000"/>
                <w:sz w:val="18"/>
                <w:szCs w:val="18"/>
                <w:lang w:bidi="ar"/>
              </w:rPr>
              <w:br/>
              <w:t xml:space="preserve">    评分规则：以上评价要点各占50%权重，每个要点执行情况分达成、部分达成、未达成三档，按100%-80%（含）、80%-60%（含）、60%-0%评分。</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r>
      <w:tr w:rsidR="005D4200">
        <w:trPr>
          <w:trHeight w:val="812"/>
        </w:trPr>
        <w:tc>
          <w:tcPr>
            <w:tcW w:w="984"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过程</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资金管理</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预算执行率</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3</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预算执行率=（实际支出资金/实际到位资金）×100%。</w:t>
            </w:r>
            <w:r>
              <w:rPr>
                <w:rFonts w:ascii="宋体" w:hAnsi="宋体" w:cs="宋体" w:hint="eastAsia"/>
                <w:color w:val="000000"/>
                <w:sz w:val="18"/>
                <w:szCs w:val="18"/>
                <w:lang w:bidi="ar"/>
              </w:rPr>
              <w:br/>
              <w:t>实际支出资金：一定时期（本年度或项目期）内项目实际拨付的资金。</w:t>
            </w:r>
            <w:r>
              <w:rPr>
                <w:rFonts w:ascii="宋体" w:hAnsi="宋体" w:cs="宋体" w:hint="eastAsia"/>
                <w:color w:val="000000"/>
                <w:sz w:val="18"/>
                <w:szCs w:val="18"/>
                <w:lang w:bidi="ar"/>
              </w:rPr>
              <w:br/>
              <w:t xml:space="preserve">    评分规则：得分=资金到位率×分值。</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3</w:t>
            </w:r>
          </w:p>
        </w:tc>
      </w:tr>
      <w:tr w:rsidR="005D4200">
        <w:trPr>
          <w:trHeight w:val="144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资金到位率</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3</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资金到位率=（实际到位资金/预算资金）×100%。</w:t>
            </w:r>
            <w:r>
              <w:rPr>
                <w:rFonts w:ascii="宋体" w:hAnsi="宋体" w:cs="宋体" w:hint="eastAsia"/>
                <w:color w:val="000000"/>
                <w:sz w:val="18"/>
                <w:szCs w:val="18"/>
                <w:lang w:bidi="ar"/>
              </w:rPr>
              <w:br/>
              <w:t xml:space="preserve">    实际到位资金：一定时期（本年度或项目期）内落实到具体项目的资金。</w:t>
            </w:r>
            <w:r>
              <w:rPr>
                <w:rFonts w:ascii="宋体" w:hAnsi="宋体" w:cs="宋体" w:hint="eastAsia"/>
                <w:color w:val="000000"/>
                <w:sz w:val="18"/>
                <w:szCs w:val="18"/>
                <w:lang w:bidi="ar"/>
              </w:rPr>
              <w:br/>
              <w:t xml:space="preserve">    预算资金：一定时期（本年度或项目期）内预算安排到具体项目的资金。</w:t>
            </w:r>
            <w:r>
              <w:rPr>
                <w:rFonts w:ascii="宋体" w:hAnsi="宋体" w:cs="宋体" w:hint="eastAsia"/>
                <w:color w:val="000000"/>
                <w:sz w:val="18"/>
                <w:szCs w:val="18"/>
                <w:lang w:bidi="ar"/>
              </w:rPr>
              <w:br/>
              <w:t xml:space="preserve">    评分规则：得分=资金到位率×分值。</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3</w:t>
            </w:r>
          </w:p>
        </w:tc>
      </w:tr>
      <w:tr w:rsidR="005D4200">
        <w:trPr>
          <w:trHeight w:val="20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资金使用合规性</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合规</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4</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评价要点：</w:t>
            </w:r>
            <w:r>
              <w:rPr>
                <w:rFonts w:ascii="宋体" w:hAnsi="宋体" w:cs="宋体" w:hint="eastAsia"/>
                <w:color w:val="000000"/>
                <w:sz w:val="18"/>
                <w:szCs w:val="18"/>
                <w:lang w:bidi="ar"/>
              </w:rPr>
              <w:br/>
              <w:t xml:space="preserve">    ①是否符合国家财经法规和财务管理制度以及有关专项资金管理办法的规定；</w:t>
            </w:r>
            <w:r>
              <w:rPr>
                <w:rFonts w:ascii="宋体" w:hAnsi="宋体" w:cs="宋体" w:hint="eastAsia"/>
                <w:color w:val="000000"/>
                <w:sz w:val="18"/>
                <w:szCs w:val="18"/>
                <w:lang w:bidi="ar"/>
              </w:rPr>
              <w:br/>
              <w:t xml:space="preserve">    ②资金的拨付是否有完整的审批程序和手续；</w:t>
            </w:r>
            <w:r>
              <w:rPr>
                <w:rFonts w:ascii="宋体" w:hAnsi="宋体" w:cs="宋体" w:hint="eastAsia"/>
                <w:color w:val="000000"/>
                <w:sz w:val="18"/>
                <w:szCs w:val="18"/>
                <w:lang w:bidi="ar"/>
              </w:rPr>
              <w:br/>
              <w:t xml:space="preserve">    ③是否符合项目预算批复或合同规定的用途；</w:t>
            </w:r>
            <w:r>
              <w:rPr>
                <w:rFonts w:ascii="宋体" w:hAnsi="宋体" w:cs="宋体" w:hint="eastAsia"/>
                <w:color w:val="000000"/>
                <w:sz w:val="18"/>
                <w:szCs w:val="18"/>
                <w:lang w:bidi="ar"/>
              </w:rPr>
              <w:br/>
              <w:t xml:space="preserve">    ④是否存在截留、挤占、挪用、虚列支出等情况。</w:t>
            </w:r>
            <w:r>
              <w:rPr>
                <w:rFonts w:ascii="宋体" w:hAnsi="宋体" w:cs="宋体" w:hint="eastAsia"/>
                <w:color w:val="000000"/>
                <w:sz w:val="18"/>
                <w:szCs w:val="18"/>
                <w:lang w:bidi="ar"/>
              </w:rPr>
              <w:br/>
              <w:t xml:space="preserve">    评分规则：以上评价要点各占25%权重，每个要点执行情况分达成、部分达成、未达成三档，按100%-80%（含）、80%-60%（含）、60%-0%评分。</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4</w:t>
            </w:r>
          </w:p>
        </w:tc>
      </w:tr>
      <w:tr w:rsidR="005D4200">
        <w:trPr>
          <w:trHeight w:val="2447"/>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组织实施</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制度执行有效性</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有效</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6</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评价要点：</w:t>
            </w:r>
            <w:r>
              <w:rPr>
                <w:rFonts w:ascii="宋体" w:hAnsi="宋体" w:cs="宋体" w:hint="eastAsia"/>
                <w:color w:val="000000"/>
                <w:sz w:val="18"/>
                <w:szCs w:val="18"/>
                <w:lang w:bidi="ar"/>
              </w:rPr>
              <w:br/>
              <w:t xml:space="preserve">    ①项目是否制定合理的实施计划，实施过程中是否遵守相关法律法规和相关管理规定，并按照规定程序实施项目，进度是否符合计划；</w:t>
            </w:r>
            <w:r>
              <w:rPr>
                <w:rFonts w:ascii="宋体" w:hAnsi="宋体" w:cs="宋体" w:hint="eastAsia"/>
                <w:color w:val="000000"/>
                <w:sz w:val="18"/>
                <w:szCs w:val="18"/>
                <w:lang w:bidi="ar"/>
              </w:rPr>
              <w:br/>
              <w:t xml:space="preserve">    ②项目调整及支出调整手续是否完备，资产管理是否规范，是否开展监督检查、绩效监控和评价；</w:t>
            </w:r>
            <w:r>
              <w:rPr>
                <w:rFonts w:ascii="宋体" w:hAnsi="宋体" w:cs="宋体" w:hint="eastAsia"/>
                <w:color w:val="000000"/>
                <w:sz w:val="18"/>
                <w:szCs w:val="18"/>
                <w:lang w:bidi="ar"/>
              </w:rPr>
              <w:br/>
              <w:t xml:space="preserve">    ③项目合同书、验收报告、技术鉴定、监督检查、绩效管理等资料是否齐全并及时归档；</w:t>
            </w:r>
            <w:r>
              <w:rPr>
                <w:rFonts w:ascii="宋体" w:hAnsi="宋体" w:cs="宋体" w:hint="eastAsia"/>
                <w:color w:val="000000"/>
                <w:sz w:val="18"/>
                <w:szCs w:val="18"/>
                <w:lang w:bidi="ar"/>
              </w:rPr>
              <w:br/>
              <w:t xml:space="preserve">    ④项目实施的组织机构、人员条件、场地设备、信息支撑等是否落实到位；</w:t>
            </w:r>
            <w:r>
              <w:rPr>
                <w:rFonts w:ascii="宋体" w:hAnsi="宋体" w:cs="宋体" w:hint="eastAsia"/>
                <w:color w:val="000000"/>
                <w:sz w:val="18"/>
                <w:szCs w:val="18"/>
                <w:lang w:bidi="ar"/>
              </w:rPr>
              <w:br/>
              <w:t xml:space="preserve">    评分规则：以上评价要点各占25%权重，每个要点执行情况分达成、部分达成、未达成三档，按100%-80%（含）、80%-60%（含）、60%-0%评分。</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6</w:t>
            </w:r>
          </w:p>
        </w:tc>
      </w:tr>
      <w:tr w:rsidR="005D4200">
        <w:trPr>
          <w:trHeight w:val="1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管理制度健全性</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健全</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评价要点：</w:t>
            </w:r>
            <w:r>
              <w:rPr>
                <w:rFonts w:ascii="宋体" w:hAnsi="宋体" w:cs="宋体" w:hint="eastAsia"/>
                <w:color w:val="000000"/>
                <w:sz w:val="18"/>
                <w:szCs w:val="18"/>
                <w:lang w:bidi="ar"/>
              </w:rPr>
              <w:br/>
              <w:t xml:space="preserve">    ①是否已制定或具有相应的财务和业务管理等制度；</w:t>
            </w:r>
            <w:r>
              <w:rPr>
                <w:rFonts w:ascii="宋体" w:hAnsi="宋体" w:cs="宋体" w:hint="eastAsia"/>
                <w:color w:val="000000"/>
                <w:sz w:val="18"/>
                <w:szCs w:val="18"/>
                <w:lang w:bidi="ar"/>
              </w:rPr>
              <w:br/>
              <w:t xml:space="preserve">    ②财务和业务管理等制度是否合法、合规、完整。</w:t>
            </w:r>
            <w:r>
              <w:rPr>
                <w:rFonts w:ascii="宋体" w:hAnsi="宋体" w:cs="宋体" w:hint="eastAsia"/>
                <w:color w:val="000000"/>
                <w:sz w:val="18"/>
                <w:szCs w:val="18"/>
                <w:lang w:bidi="ar"/>
              </w:rPr>
              <w:br/>
              <w:t xml:space="preserve">    评分规则：以上评价要点各占50%权重，每个要点执行情况分达成、部分达成、未达成三档，按100%-80%（含）、80%-60%（含）、60%-0%评分。</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w:t>
            </w:r>
          </w:p>
        </w:tc>
      </w:tr>
      <w:tr w:rsidR="005D4200">
        <w:trPr>
          <w:trHeight w:val="620"/>
        </w:trPr>
        <w:tc>
          <w:tcPr>
            <w:tcW w:w="984"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产出指标</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数量指标</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购置图形工作站、3D数字化设备数量</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≥48套</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18"/>
                <w:szCs w:val="18"/>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改建实训室数量</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≥8个</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4</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18"/>
                <w:szCs w:val="18"/>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4</w:t>
            </w:r>
          </w:p>
        </w:tc>
      </w:tr>
      <w:tr w:rsidR="005D4200">
        <w:trPr>
          <w:trHeight w:val="9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购置工作站、电气安装实训设备台（套）数</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≥30台（套）</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18"/>
                <w:szCs w:val="18"/>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r>
      <w:tr w:rsidR="005D4200">
        <w:trPr>
          <w:trHeight w:val="5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购置智能焊接机器人工作站数量</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≥2套</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left"/>
              <w:textAlignment w:val="center"/>
              <w:rPr>
                <w:rFonts w:ascii="宋体" w:hAnsi="宋体" w:cs="宋体"/>
                <w:color w:val="000000"/>
                <w:sz w:val="18"/>
                <w:szCs w:val="18"/>
              </w:rPr>
            </w:pPr>
            <w:r>
              <w:rPr>
                <w:rFonts w:ascii="宋体" w:hAnsi="宋体" w:cs="宋体" w:hint="eastAsia"/>
                <w:color w:val="000000"/>
                <w:sz w:val="18"/>
                <w:szCs w:val="18"/>
                <w:lang w:bidi="ar"/>
              </w:rPr>
              <w:t>采购2套得满分，每多于或少于1套扣0.5分，扣完为止。</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0.5</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购置软硬件数量</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≥55个</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18"/>
                <w:szCs w:val="18"/>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购置污水处理系统数量</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＝1套</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18"/>
                <w:szCs w:val="18"/>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购置设备数量</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≥11台（套）</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18"/>
                <w:szCs w:val="18"/>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质量指标</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任务完成及时率</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18"/>
                <w:szCs w:val="18"/>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设备验收合格率</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18"/>
                <w:szCs w:val="18"/>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时效指标</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实训室建设及时完工率</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成本指标</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设备采购、工程金额</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≤710万元</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r>
      <w:tr w:rsidR="005D4200">
        <w:trPr>
          <w:trHeight w:val="460"/>
        </w:trPr>
        <w:tc>
          <w:tcPr>
            <w:tcW w:w="984"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效益指标</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经济效益</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社会培训及技能等级认定有效提升</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有效提升</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w:t>
            </w:r>
          </w:p>
        </w:tc>
      </w:tr>
      <w:tr w:rsidR="005D4200">
        <w:trPr>
          <w:trHeight w:val="98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社会效益</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电气自动化安装与维修专业工学一体化人才培养方案和开发的相关资源</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＝1套</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每年至少开展一次专业培训</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核心课程标准</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＝1个</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r>
      <w:tr w:rsidR="005D4200">
        <w:trPr>
          <w:trHeight w:val="80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城市水务技术新专业人才培养方案和核心课程标准</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＝1套</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5</w:t>
            </w: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生态效益</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r>
      <w:tr w:rsidR="005D4200">
        <w:trPr>
          <w:trHeight w:val="460"/>
        </w:trPr>
        <w:tc>
          <w:tcPr>
            <w:tcW w:w="984"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可持续影响</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center"/>
              <w:rPr>
                <w:rFonts w:ascii="宋体" w:hAnsi="宋体" w:cs="宋体"/>
                <w:color w:val="000000"/>
                <w:sz w:val="20"/>
                <w:szCs w:val="20"/>
              </w:rPr>
            </w:pPr>
          </w:p>
        </w:tc>
      </w:tr>
      <w:tr w:rsidR="005D4200">
        <w:trPr>
          <w:trHeight w:val="460"/>
        </w:trPr>
        <w:tc>
          <w:tcPr>
            <w:tcW w:w="98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满意度指标</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服务对象满意度</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学生满意度</w:t>
            </w:r>
          </w:p>
        </w:tc>
        <w:tc>
          <w:tcPr>
            <w:tcW w:w="136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≥90%</w:t>
            </w:r>
          </w:p>
        </w:tc>
        <w:tc>
          <w:tcPr>
            <w:tcW w:w="79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w:t>
            </w:r>
          </w:p>
        </w:tc>
        <w:tc>
          <w:tcPr>
            <w:tcW w:w="65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5D4200">
            <w:pPr>
              <w:jc w:val="left"/>
              <w:rPr>
                <w:rFonts w:ascii="宋体" w:hAnsi="宋体" w:cs="宋体"/>
                <w:color w:val="000000"/>
                <w:sz w:val="20"/>
                <w:szCs w:val="20"/>
              </w:rPr>
            </w:pP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color w:val="000000"/>
                <w:sz w:val="20"/>
                <w:szCs w:val="20"/>
              </w:rPr>
            </w:pPr>
            <w:r>
              <w:rPr>
                <w:rFonts w:ascii="宋体" w:hAnsi="宋体" w:cs="宋体" w:hint="eastAsia"/>
                <w:color w:val="000000"/>
                <w:sz w:val="20"/>
                <w:szCs w:val="20"/>
                <w:lang w:bidi="ar"/>
              </w:rPr>
              <w:t>10</w:t>
            </w:r>
          </w:p>
        </w:tc>
      </w:tr>
      <w:tr w:rsidR="005D4200">
        <w:trPr>
          <w:trHeight w:val="651"/>
        </w:trPr>
        <w:tc>
          <w:tcPr>
            <w:tcW w:w="13055" w:type="dxa"/>
            <w:gridSpan w:val="6"/>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lang w:bidi="ar"/>
              </w:rPr>
              <w:t>得分合计</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5D4200" w:rsidRDefault="001F0475">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lang w:bidi="ar"/>
              </w:rPr>
              <w:t>99.1</w:t>
            </w:r>
          </w:p>
        </w:tc>
      </w:tr>
    </w:tbl>
    <w:p w:rsidR="005D4200" w:rsidRDefault="005D4200">
      <w:pPr>
        <w:widowControl/>
        <w:ind w:firstLineChars="200" w:firstLine="640"/>
        <w:jc w:val="center"/>
        <w:rPr>
          <w:rFonts w:eastAsia="方正仿宋_GBK"/>
          <w:color w:val="000000" w:themeColor="text1"/>
          <w:sz w:val="32"/>
          <w:szCs w:val="32"/>
        </w:rPr>
      </w:pPr>
    </w:p>
    <w:p w:rsidR="005D4200" w:rsidRDefault="005D4200">
      <w:pPr>
        <w:pStyle w:val="Style13"/>
        <w:rPr>
          <w:rFonts w:ascii="Times New Roman" w:hAnsi="Times New Roman" w:cs="Times New Roman"/>
          <w:b/>
          <w:bCs/>
        </w:rPr>
      </w:pPr>
    </w:p>
    <w:sectPr w:rsidR="005D4200">
      <w:pgSz w:w="16838" w:h="11906" w:orient="landscape"/>
      <w:pgMar w:top="1361" w:right="1587" w:bottom="1361" w:left="1587" w:header="708" w:footer="709" w:gutter="0"/>
      <w:cols w:space="720" w:equalWidth="0">
        <w:col w:w="902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44F" w:rsidRDefault="0084244F">
      <w:r>
        <w:separator/>
      </w:r>
    </w:p>
  </w:endnote>
  <w:endnote w:type="continuationSeparator" w:id="0">
    <w:p w:rsidR="0084244F" w:rsidRDefault="00842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200" w:rsidRDefault="001F0475">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D4200" w:rsidRDefault="001F0475">
                          <w:pPr>
                            <w:pStyle w:val="a3"/>
                          </w:pPr>
                          <w:r>
                            <w:rPr>
                              <w:rFonts w:hint="eastAsia"/>
                            </w:rPr>
                            <w:fldChar w:fldCharType="begin"/>
                          </w:r>
                          <w:r>
                            <w:rPr>
                              <w:rFonts w:hint="eastAsia"/>
                            </w:rPr>
                            <w:instrText xml:space="preserve"> PAGE  \* MERGEFORMAT </w:instrText>
                          </w:r>
                          <w:r>
                            <w:rPr>
                              <w:rFonts w:hint="eastAsia"/>
                            </w:rPr>
                            <w:fldChar w:fldCharType="separate"/>
                          </w:r>
                          <w:r w:rsidR="00DF6A2B">
                            <w:rPr>
                              <w:noProof/>
                            </w:rP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D4200" w:rsidRDefault="001F0475">
                    <w:pPr>
                      <w:pStyle w:val="a3"/>
                    </w:pPr>
                    <w:r>
                      <w:rPr>
                        <w:rFonts w:hint="eastAsia"/>
                      </w:rPr>
                      <w:fldChar w:fldCharType="begin"/>
                    </w:r>
                    <w:r>
                      <w:rPr>
                        <w:rFonts w:hint="eastAsia"/>
                      </w:rPr>
                      <w:instrText xml:space="preserve"> PAGE  \* MERGEFORMAT </w:instrText>
                    </w:r>
                    <w:r>
                      <w:rPr>
                        <w:rFonts w:hint="eastAsia"/>
                      </w:rPr>
                      <w:fldChar w:fldCharType="separate"/>
                    </w:r>
                    <w:r w:rsidR="00DF6A2B">
                      <w:rPr>
                        <w:noProof/>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44F" w:rsidRDefault="0084244F">
      <w:r>
        <w:separator/>
      </w:r>
    </w:p>
  </w:footnote>
  <w:footnote w:type="continuationSeparator" w:id="0">
    <w:p w:rsidR="0084244F" w:rsidRDefault="008424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2B245C"/>
    <w:multiLevelType w:val="singleLevel"/>
    <w:tmpl w:val="F32B245C"/>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defaultTabStop w:val="4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200"/>
    <w:rsid w:val="001F0475"/>
    <w:rsid w:val="005D4200"/>
    <w:rsid w:val="0084244F"/>
    <w:rsid w:val="00BC61A2"/>
    <w:rsid w:val="00CE5357"/>
    <w:rsid w:val="00DF6A2B"/>
    <w:rsid w:val="00E435E4"/>
    <w:rsid w:val="00E56FB7"/>
    <w:rsid w:val="01042846"/>
    <w:rsid w:val="02280AE2"/>
    <w:rsid w:val="06CD399B"/>
    <w:rsid w:val="06CF4549"/>
    <w:rsid w:val="075060F7"/>
    <w:rsid w:val="07F56C81"/>
    <w:rsid w:val="0D4D0864"/>
    <w:rsid w:val="0D885A80"/>
    <w:rsid w:val="0E63728A"/>
    <w:rsid w:val="0F4013B9"/>
    <w:rsid w:val="11A7171E"/>
    <w:rsid w:val="14400C98"/>
    <w:rsid w:val="14B20CEA"/>
    <w:rsid w:val="153675A9"/>
    <w:rsid w:val="15C67460"/>
    <w:rsid w:val="16986817"/>
    <w:rsid w:val="16B87D57"/>
    <w:rsid w:val="176B6C7C"/>
    <w:rsid w:val="17EB39E8"/>
    <w:rsid w:val="19B63259"/>
    <w:rsid w:val="19D14AE2"/>
    <w:rsid w:val="1AE01858"/>
    <w:rsid w:val="1D1433E7"/>
    <w:rsid w:val="1D344895"/>
    <w:rsid w:val="1D9D23B0"/>
    <w:rsid w:val="1E391B1D"/>
    <w:rsid w:val="1E576BB3"/>
    <w:rsid w:val="1E8A7035"/>
    <w:rsid w:val="1EE92098"/>
    <w:rsid w:val="1F872E48"/>
    <w:rsid w:val="20F75893"/>
    <w:rsid w:val="214A2908"/>
    <w:rsid w:val="21C54BE7"/>
    <w:rsid w:val="25D42496"/>
    <w:rsid w:val="26241E4B"/>
    <w:rsid w:val="271150C0"/>
    <w:rsid w:val="27B91A89"/>
    <w:rsid w:val="27CE1A1E"/>
    <w:rsid w:val="282A1640"/>
    <w:rsid w:val="286F3718"/>
    <w:rsid w:val="294F0F75"/>
    <w:rsid w:val="299B45C5"/>
    <w:rsid w:val="299E7314"/>
    <w:rsid w:val="29D17116"/>
    <w:rsid w:val="2A367F83"/>
    <w:rsid w:val="2A431F27"/>
    <w:rsid w:val="2A83511F"/>
    <w:rsid w:val="2AE146BE"/>
    <w:rsid w:val="2B5B6D0E"/>
    <w:rsid w:val="2B950F47"/>
    <w:rsid w:val="2BA91B14"/>
    <w:rsid w:val="2C250336"/>
    <w:rsid w:val="2C82263B"/>
    <w:rsid w:val="2DBE53B4"/>
    <w:rsid w:val="302F501E"/>
    <w:rsid w:val="30FB1D0E"/>
    <w:rsid w:val="31D338B4"/>
    <w:rsid w:val="35417B3A"/>
    <w:rsid w:val="356A0029"/>
    <w:rsid w:val="381F6BAF"/>
    <w:rsid w:val="383F4BEB"/>
    <w:rsid w:val="3AFD6885"/>
    <w:rsid w:val="3C0D5385"/>
    <w:rsid w:val="3C227D33"/>
    <w:rsid w:val="3D8E7CA1"/>
    <w:rsid w:val="3DF952E6"/>
    <w:rsid w:val="3F9D3A41"/>
    <w:rsid w:val="401A76AB"/>
    <w:rsid w:val="410476A6"/>
    <w:rsid w:val="42A40BB3"/>
    <w:rsid w:val="43B455AA"/>
    <w:rsid w:val="44D6745C"/>
    <w:rsid w:val="477D5389"/>
    <w:rsid w:val="48607919"/>
    <w:rsid w:val="49B04CE0"/>
    <w:rsid w:val="4AC6624A"/>
    <w:rsid w:val="4AF6244F"/>
    <w:rsid w:val="4B872A91"/>
    <w:rsid w:val="4C8D69CF"/>
    <w:rsid w:val="4E761154"/>
    <w:rsid w:val="4E9F0DF4"/>
    <w:rsid w:val="4ED97AA4"/>
    <w:rsid w:val="4F27251F"/>
    <w:rsid w:val="4F3B0DE5"/>
    <w:rsid w:val="51E77720"/>
    <w:rsid w:val="539E371A"/>
    <w:rsid w:val="56677461"/>
    <w:rsid w:val="568F2CE5"/>
    <w:rsid w:val="56B47394"/>
    <w:rsid w:val="5737095E"/>
    <w:rsid w:val="579B4E5F"/>
    <w:rsid w:val="57F1674C"/>
    <w:rsid w:val="5A5059A7"/>
    <w:rsid w:val="5A7B74FE"/>
    <w:rsid w:val="5A9D3582"/>
    <w:rsid w:val="5AD66786"/>
    <w:rsid w:val="5B0673AF"/>
    <w:rsid w:val="5CB855E6"/>
    <w:rsid w:val="5D4456E7"/>
    <w:rsid w:val="5D5F1D4A"/>
    <w:rsid w:val="5F107EEE"/>
    <w:rsid w:val="5F4E5BC3"/>
    <w:rsid w:val="60231618"/>
    <w:rsid w:val="607E69CD"/>
    <w:rsid w:val="643830BC"/>
    <w:rsid w:val="64BA194A"/>
    <w:rsid w:val="68923749"/>
    <w:rsid w:val="69CA6F94"/>
    <w:rsid w:val="6AD009BF"/>
    <w:rsid w:val="6B6A56E5"/>
    <w:rsid w:val="6C0E38B5"/>
    <w:rsid w:val="6C4E794C"/>
    <w:rsid w:val="6C9800B2"/>
    <w:rsid w:val="6CCE74AB"/>
    <w:rsid w:val="6EB37B4B"/>
    <w:rsid w:val="6FE2494A"/>
    <w:rsid w:val="70524D77"/>
    <w:rsid w:val="70626257"/>
    <w:rsid w:val="70D55D3D"/>
    <w:rsid w:val="73903195"/>
    <w:rsid w:val="756B2519"/>
    <w:rsid w:val="75A50D66"/>
    <w:rsid w:val="76254DE7"/>
    <w:rsid w:val="769F38EA"/>
    <w:rsid w:val="77BF7649"/>
    <w:rsid w:val="77FB33B5"/>
    <w:rsid w:val="78165165"/>
    <w:rsid w:val="78C14889"/>
    <w:rsid w:val="78C9166C"/>
    <w:rsid w:val="7A5F570F"/>
    <w:rsid w:val="7C771D30"/>
    <w:rsid w:val="7CC55369"/>
    <w:rsid w:val="7CD73A4D"/>
    <w:rsid w:val="7F287B7B"/>
    <w:rsid w:val="7F6B7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35B9B"/>
  <w15:docId w15:val="{5DBA386F-69F4-4DBE-9921-53F7A7248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qFormat="1"/>
    <w:lsdException w:name="footer" w:qFormat="1"/>
    <w:lsdException w:name="caption" w:semiHidden="1" w:unhideWhenUsed="1" w:qFormat="1"/>
    <w:lsdException w:name="footnote reference" w:uiPriority="99"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szCs w:val="22"/>
    </w:rPr>
  </w:style>
  <w:style w:type="paragraph" w:styleId="1">
    <w:name w:val="heading 1"/>
    <w:next w:val="a"/>
    <w:qFormat/>
    <w:pPr>
      <w:spacing w:before="380" w:after="140" w:line="288" w:lineRule="auto"/>
      <w:outlineLvl w:val="0"/>
    </w:pPr>
    <w:rPr>
      <w:rFonts w:ascii="Arial" w:eastAsia="等线" w:hAnsi="Arial" w:cs="Arial"/>
      <w:b/>
      <w:bCs/>
      <w:sz w:val="36"/>
      <w:szCs w:val="36"/>
    </w:rPr>
  </w:style>
  <w:style w:type="paragraph" w:styleId="2">
    <w:name w:val="heading 2"/>
    <w:next w:val="a"/>
    <w:qFormat/>
    <w:pPr>
      <w:spacing w:before="320" w:after="120" w:line="288" w:lineRule="auto"/>
      <w:outlineLvl w:val="1"/>
    </w:pPr>
    <w:rPr>
      <w:rFonts w:ascii="Arial" w:eastAsia="等线" w:hAnsi="Arial" w:cs="Arial"/>
      <w:b/>
      <w:bCs/>
      <w:sz w:val="32"/>
      <w:szCs w:val="32"/>
    </w:rPr>
  </w:style>
  <w:style w:type="paragraph" w:styleId="3">
    <w:name w:val="heading 3"/>
    <w:next w:val="a"/>
    <w:qFormat/>
    <w:pPr>
      <w:spacing w:before="300" w:after="120" w:line="288" w:lineRule="auto"/>
      <w:outlineLvl w:val="2"/>
    </w:pPr>
    <w:rPr>
      <w:rFonts w:ascii="Arial" w:eastAsia="等线" w:hAnsi="Arial" w:cs="Arial"/>
      <w:b/>
      <w:bCs/>
      <w:sz w:val="30"/>
      <w:szCs w:val="30"/>
    </w:rPr>
  </w:style>
  <w:style w:type="paragraph" w:styleId="4">
    <w:name w:val="heading 4"/>
    <w:next w:val="a"/>
    <w:qFormat/>
    <w:pPr>
      <w:spacing w:before="260" w:after="120" w:line="288" w:lineRule="auto"/>
      <w:outlineLvl w:val="3"/>
    </w:pPr>
    <w:rPr>
      <w:rFonts w:ascii="Arial" w:eastAsia="等线" w:hAnsi="Arial" w:cs="Arial"/>
      <w:b/>
      <w:bCs/>
      <w:sz w:val="28"/>
      <w:szCs w:val="28"/>
    </w:rPr>
  </w:style>
  <w:style w:type="paragraph" w:styleId="5">
    <w:name w:val="heading 5"/>
    <w:next w:val="a"/>
    <w:qFormat/>
    <w:pPr>
      <w:spacing w:before="240" w:after="120" w:line="288" w:lineRule="auto"/>
      <w:outlineLvl w:val="4"/>
    </w:pPr>
    <w:rPr>
      <w:rFonts w:ascii="Arial" w:eastAsia="等线" w:hAnsi="Arial" w:cs="Arial"/>
      <w:b/>
      <w:bCs/>
      <w:sz w:val="24"/>
      <w:szCs w:val="24"/>
    </w:rPr>
  </w:style>
  <w:style w:type="paragraph" w:styleId="6">
    <w:name w:val="heading 6"/>
    <w:next w:val="a"/>
    <w:qFormat/>
    <w:pPr>
      <w:spacing w:before="240" w:after="120" w:line="288" w:lineRule="auto"/>
      <w:outlineLvl w:val="5"/>
    </w:pPr>
    <w:rPr>
      <w:rFonts w:ascii="Arial" w:eastAsia="等线"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note text"/>
    <w:link w:val="a6"/>
    <w:uiPriority w:val="99"/>
    <w:unhideWhenUsed/>
    <w:qFormat/>
  </w:style>
  <w:style w:type="paragraph" w:styleId="a7">
    <w:name w:val="Normal (Web)"/>
    <w:basedOn w:val="a"/>
    <w:qFormat/>
    <w:rPr>
      <w:sz w:val="24"/>
    </w:rPr>
  </w:style>
  <w:style w:type="paragraph" w:styleId="a8">
    <w:name w:val="Title"/>
    <w:qFormat/>
    <w:pPr>
      <w:spacing w:before="480" w:after="480" w:line="288" w:lineRule="auto"/>
    </w:pPr>
    <w:rPr>
      <w:rFonts w:ascii="Arial" w:eastAsia="等线" w:hAnsi="Arial" w:cs="Arial"/>
      <w:b/>
      <w:bCs/>
      <w:sz w:val="52"/>
      <w:szCs w:val="52"/>
    </w:rPr>
  </w:style>
  <w:style w:type="character" w:styleId="a9">
    <w:name w:val="Strong"/>
    <w:basedOn w:val="a0"/>
    <w:qFormat/>
    <w:rPr>
      <w:b/>
    </w:rPr>
  </w:style>
  <w:style w:type="character" w:styleId="aa">
    <w:name w:val="Hyperlink"/>
    <w:uiPriority w:val="99"/>
    <w:unhideWhenUsed/>
    <w:qFormat/>
    <w:rPr>
      <w:color w:val="0563C1"/>
      <w:u w:val="single"/>
    </w:rPr>
  </w:style>
  <w:style w:type="character" w:styleId="ab">
    <w:name w:val="footnote reference"/>
    <w:uiPriority w:val="99"/>
    <w:unhideWhenUsed/>
    <w:qFormat/>
    <w:rPr>
      <w:vertAlign w:val="superscript"/>
    </w:rPr>
  </w:style>
  <w:style w:type="paragraph" w:customStyle="1" w:styleId="10">
    <w:name w:val="列出段落1"/>
    <w:qFormat/>
    <w:rPr>
      <w:sz w:val="21"/>
      <w:szCs w:val="22"/>
    </w:rPr>
  </w:style>
  <w:style w:type="character" w:customStyle="1" w:styleId="a6">
    <w:name w:val="脚注文本 字符"/>
    <w:link w:val="a5"/>
    <w:uiPriority w:val="99"/>
    <w:unhideWhenUsed/>
    <w:qFormat/>
    <w:rPr>
      <w:sz w:val="20"/>
      <w:szCs w:val="20"/>
    </w:rPr>
  </w:style>
  <w:style w:type="paragraph" w:customStyle="1" w:styleId="Style13">
    <w:name w:val="_Style 13"/>
    <w:qFormat/>
    <w:pPr>
      <w:spacing w:before="120" w:after="120" w:line="288" w:lineRule="auto"/>
    </w:pPr>
    <w:rPr>
      <w:rFonts w:ascii="Arial" w:eastAsia="等线" w:hAnsi="Arial" w:cs="Arial"/>
      <w:sz w:val="22"/>
      <w:szCs w:val="22"/>
    </w:rPr>
  </w:style>
  <w:style w:type="paragraph" w:customStyle="1" w:styleId="Style14">
    <w:name w:val="_Style 14"/>
    <w:qFormat/>
    <w:pPr>
      <w:spacing w:before="120" w:after="120" w:line="288" w:lineRule="auto"/>
    </w:pPr>
    <w:rPr>
      <w:rFonts w:ascii="Arial" w:eastAsia="等线" w:hAnsi="Arial" w:cs="Arial"/>
      <w:color w:val="8F959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829</Words>
  <Characters>4728</Characters>
  <Application>Microsoft Office Word</Application>
  <DocSecurity>0</DocSecurity>
  <Lines>39</Lines>
  <Paragraphs>11</Paragraphs>
  <ScaleCrop>false</ScaleCrop>
  <Company>Micorosoft</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Micorosoft</cp:lastModifiedBy>
  <cp:revision>5</cp:revision>
  <cp:lastPrinted>2025-06-27T01:34:00Z</cp:lastPrinted>
  <dcterms:created xsi:type="dcterms:W3CDTF">2025-06-20T08:29:00Z</dcterms:created>
  <dcterms:modified xsi:type="dcterms:W3CDTF">2025-09-11T03:21:00Z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y fmtid="{D5CDD505-2E9C-101B-9397-08002B2CF9AE}" pid="3" name="KSOTemplateDocerSaveRecord">
    <vt:lpwstr>eyJoZGlkIjoiNWEwZjI4NjZmM2M2MTU1NDM3ZjgwNmU4MTYzMGI5NDgiLCJ1c2VySWQiOiIxNDMyMDU1NjczIn0=</vt:lpwstr>
  </property>
  <property fmtid="{D5CDD505-2E9C-101B-9397-08002B2CF9AE}" pid="4" name="ICV">
    <vt:lpwstr>973DC1E439CE467796E61B39DCBBD5C3_12</vt:lpwstr>
  </property>
</Properties>
</file>