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7F8F2">
      <w:pPr>
        <w:spacing w:line="700" w:lineRule="exact"/>
        <w:jc w:val="center"/>
        <w:rPr>
          <w:rFonts w:ascii="Times New Roman" w:hAnsi="Times New Roman" w:eastAsia="方正小标宋_GBK"/>
          <w:sz w:val="44"/>
          <w:szCs w:val="44"/>
        </w:rPr>
      </w:pPr>
      <w:r>
        <w:rPr>
          <w:rFonts w:ascii="Times New Roman" w:hAnsi="Times New Roman" w:eastAsia="方正小标宋_GBK"/>
          <w:sz w:val="44"/>
          <w:szCs w:val="44"/>
        </w:rPr>
        <w:t>202</w:t>
      </w:r>
      <w:r>
        <w:rPr>
          <w:rFonts w:hint="eastAsia" w:ascii="Times New Roman" w:hAnsi="Times New Roman" w:eastAsia="方正小标宋_GBK"/>
          <w:sz w:val="44"/>
          <w:szCs w:val="44"/>
        </w:rPr>
        <w:t>4</w:t>
      </w:r>
      <w:r>
        <w:rPr>
          <w:rFonts w:ascii="Times New Roman" w:hAnsi="Times New Roman" w:eastAsia="方正小标宋_GBK"/>
          <w:sz w:val="44"/>
          <w:szCs w:val="44"/>
        </w:rPr>
        <w:t>年度南京市人才服务中心整体预算</w:t>
      </w:r>
      <w:r>
        <w:rPr>
          <w:rFonts w:hint="eastAsia" w:ascii="Times New Roman" w:hAnsi="Times New Roman" w:eastAsia="方正小标宋_GBK"/>
          <w:sz w:val="44"/>
          <w:szCs w:val="44"/>
        </w:rPr>
        <w:t xml:space="preserve">     </w:t>
      </w:r>
      <w:r>
        <w:rPr>
          <w:rFonts w:ascii="Times New Roman" w:hAnsi="Times New Roman" w:eastAsia="方正小标宋_GBK"/>
          <w:sz w:val="44"/>
          <w:szCs w:val="44"/>
        </w:rPr>
        <w:t>绩效自评价报告</w:t>
      </w:r>
    </w:p>
    <w:p w14:paraId="25AB0F05">
      <w:pPr>
        <w:pStyle w:val="4"/>
        <w:spacing w:line="560" w:lineRule="exact"/>
        <w:ind w:firstLine="640"/>
        <w:rPr>
          <w:rFonts w:ascii="Times New Roman" w:hAnsi="Times New Roman" w:eastAsia="仿宋"/>
          <w:sz w:val="32"/>
        </w:rPr>
      </w:pPr>
    </w:p>
    <w:p w14:paraId="233FED69">
      <w:pPr>
        <w:spacing w:line="56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一、单位基本情况</w:t>
      </w:r>
    </w:p>
    <w:p w14:paraId="155201F7">
      <w:pPr>
        <w:spacing w:line="560" w:lineRule="exact"/>
        <w:ind w:firstLine="640" w:firstLineChars="200"/>
        <w:rPr>
          <w:rFonts w:ascii="方正楷体_GBK" w:hAnsi="Times New Roman" w:eastAsia="方正楷体_GBK"/>
          <w:sz w:val="32"/>
          <w:szCs w:val="32"/>
        </w:rPr>
      </w:pPr>
      <w:r>
        <w:rPr>
          <w:rFonts w:hint="eastAsia" w:ascii="方正楷体_GBK" w:hAnsi="Times New Roman" w:eastAsia="方正楷体_GBK"/>
          <w:sz w:val="32"/>
          <w:szCs w:val="32"/>
        </w:rPr>
        <w:t>（一）单位概况</w:t>
      </w:r>
    </w:p>
    <w:p w14:paraId="6B8C886E">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 xml:space="preserve">1. </w:t>
      </w:r>
      <w:r>
        <w:rPr>
          <w:rFonts w:hint="eastAsia" w:ascii="Times New Roman" w:hAnsi="Times New Roman" w:eastAsia="方正仿宋_GBK"/>
          <w:sz w:val="32"/>
          <w:szCs w:val="32"/>
        </w:rPr>
        <w:t>单位</w:t>
      </w:r>
      <w:r>
        <w:rPr>
          <w:rFonts w:ascii="Times New Roman" w:hAnsi="Times New Roman" w:eastAsia="方正仿宋_GBK"/>
          <w:sz w:val="32"/>
          <w:szCs w:val="32"/>
        </w:rPr>
        <w:t>职能及内设机构</w:t>
      </w:r>
    </w:p>
    <w:p w14:paraId="5B905064">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南京市人才服务中心成立于1998年（宁编字〔1998〕5号），为副局级事业单位</w:t>
      </w:r>
      <w:r>
        <w:rPr>
          <w:rFonts w:hint="eastAsia" w:ascii="Times New Roman" w:hAnsi="Times New Roman" w:eastAsia="方正仿宋_GBK"/>
          <w:sz w:val="32"/>
          <w:szCs w:val="32"/>
        </w:rPr>
        <w:t>。</w:t>
      </w:r>
      <w:r>
        <w:rPr>
          <w:rFonts w:ascii="Times New Roman" w:hAnsi="Times New Roman" w:eastAsia="方正仿宋_GBK"/>
          <w:sz w:val="32"/>
          <w:szCs w:val="32"/>
        </w:rPr>
        <w:t>2014年按照《关于清理规范南京市人力资源和社会保障局所属事业单位的通知》（宁编办字〔2014〕26号）文件要求，南京市专业技术人员职称评介中心、人才教育培训中心和人才综合服务管理处的机构、职责划入人才服务中心，编制49</w:t>
      </w:r>
      <w:r>
        <w:rPr>
          <w:rFonts w:hint="eastAsia" w:ascii="Times New Roman" w:hAnsi="Times New Roman" w:eastAsia="方正仿宋_GBK"/>
          <w:sz w:val="32"/>
          <w:szCs w:val="32"/>
        </w:rPr>
        <w:t>名</w:t>
      </w:r>
      <w:r>
        <w:rPr>
          <w:rFonts w:ascii="Times New Roman" w:hAnsi="Times New Roman" w:eastAsia="方正仿宋_GBK"/>
          <w:sz w:val="32"/>
          <w:szCs w:val="32"/>
        </w:rPr>
        <w:t>。</w:t>
      </w:r>
      <w:r>
        <w:rPr>
          <w:rFonts w:hint="eastAsia" w:ascii="Times New Roman" w:hAnsi="Times New Roman" w:eastAsia="方正仿宋_GBK"/>
          <w:sz w:val="32"/>
          <w:szCs w:val="32"/>
        </w:rPr>
        <w:t>2022年12月，根据宁编办复</w:t>
      </w:r>
      <w:r>
        <w:rPr>
          <w:rFonts w:ascii="Times New Roman" w:hAnsi="Times New Roman" w:eastAsia="方正仿宋_GBK"/>
          <w:sz w:val="32"/>
          <w:szCs w:val="32"/>
        </w:rPr>
        <w:t>〔</w:t>
      </w:r>
      <w:r>
        <w:rPr>
          <w:rFonts w:hint="eastAsia" w:ascii="Times New Roman" w:hAnsi="Times New Roman" w:eastAsia="方正仿宋_GBK"/>
          <w:sz w:val="32"/>
          <w:szCs w:val="32"/>
        </w:rPr>
        <w:t>2022</w:t>
      </w:r>
      <w:r>
        <w:rPr>
          <w:rFonts w:ascii="Times New Roman" w:hAnsi="Times New Roman" w:eastAsia="方正仿宋_GBK"/>
          <w:sz w:val="32"/>
          <w:szCs w:val="32"/>
        </w:rPr>
        <w:t>〕</w:t>
      </w:r>
      <w:r>
        <w:rPr>
          <w:rFonts w:hint="eastAsia" w:ascii="Times New Roman" w:hAnsi="Times New Roman" w:eastAsia="方正仿宋_GBK"/>
          <w:sz w:val="32"/>
          <w:szCs w:val="32"/>
        </w:rPr>
        <w:t>46号文件精神，南京市人才服务中心经费渠道由自收自支调整为全额拨款。</w:t>
      </w:r>
      <w:r>
        <w:rPr>
          <w:rFonts w:ascii="Times New Roman" w:hAnsi="Times New Roman" w:eastAsia="方正仿宋_GBK"/>
          <w:sz w:val="32"/>
          <w:szCs w:val="32"/>
        </w:rPr>
        <w:t>我中心为二级预算单位，主管局为南京市人力资源和社会保障局，执行事业单位会计制度。</w:t>
      </w:r>
    </w:p>
    <w:p w14:paraId="3EC13218">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职能：组织招聘、推荐、引进等人才交流活动；承担企事业单位、个人人事代理关系的建立、解除以及相关人事管理工作；管理人事代理单位流动人员和毕业生人事档案；承担人事代理单位专业技术人员职称资格申报受理和职称评审等工作；组织实施机关事业单位工作人员培训、专业技术人员继续教育和社会化培训教育等工作；管理维护人才市场信息管理系统和南京人事人才网；承担人事代理人员党、团工作；指导区级人才服务机构开展工作。</w:t>
      </w:r>
    </w:p>
    <w:p w14:paraId="7D3920AC">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中心共设有6个内设机构：综合管理部、档案管理与人事代理部、市场发展部、人才信息部、人才评介部、人才教育培训部。同时，南京市人才服务中心联合党委负责人事代理人员中的党员组织管理工作，在日常工作上也按中心内设机构管理。</w:t>
      </w:r>
    </w:p>
    <w:p w14:paraId="537A6A92">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2. 中心人员及资产情况</w:t>
      </w:r>
    </w:p>
    <w:p w14:paraId="3644833C">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截至202</w:t>
      </w:r>
      <w:r>
        <w:rPr>
          <w:rFonts w:hint="eastAsia" w:ascii="Times New Roman" w:hAnsi="Times New Roman" w:eastAsia="方正仿宋_GBK"/>
          <w:sz w:val="32"/>
          <w:szCs w:val="32"/>
        </w:rPr>
        <w:t>4</w:t>
      </w:r>
      <w:r>
        <w:rPr>
          <w:rFonts w:ascii="Times New Roman" w:hAnsi="Times New Roman" w:eastAsia="方正仿宋_GBK"/>
          <w:sz w:val="32"/>
          <w:szCs w:val="32"/>
        </w:rPr>
        <w:t>年12月31日，中心机构编制管理部门核定事业编制人数49人，</w:t>
      </w:r>
      <w:r>
        <w:rPr>
          <w:rFonts w:hint="eastAsia" w:ascii="Times New Roman" w:hAnsi="Times New Roman" w:eastAsia="方正仿宋_GBK"/>
          <w:sz w:val="32"/>
          <w:szCs w:val="32"/>
        </w:rPr>
        <w:t>编外辅助人员编制</w:t>
      </w:r>
      <w:r>
        <w:rPr>
          <w:rFonts w:ascii="Times New Roman" w:hAnsi="Times New Roman" w:eastAsia="方正仿宋_GBK"/>
          <w:sz w:val="32"/>
          <w:szCs w:val="32"/>
        </w:rPr>
        <w:t>8</w:t>
      </w:r>
      <w:r>
        <w:rPr>
          <w:rFonts w:hint="eastAsia" w:ascii="Times New Roman" w:hAnsi="Times New Roman" w:eastAsia="方正仿宋_GBK"/>
          <w:sz w:val="32"/>
          <w:szCs w:val="32"/>
        </w:rPr>
        <w:t>2</w:t>
      </w:r>
      <w:r>
        <w:rPr>
          <w:rFonts w:ascii="Times New Roman" w:hAnsi="Times New Roman" w:eastAsia="方正仿宋_GBK"/>
          <w:sz w:val="32"/>
          <w:szCs w:val="32"/>
        </w:rPr>
        <w:t>人。</w:t>
      </w:r>
      <w:r>
        <w:rPr>
          <w:rFonts w:hint="eastAsia" w:ascii="Times New Roman" w:hAnsi="Times New Roman" w:eastAsia="方正仿宋_GBK"/>
          <w:sz w:val="32"/>
          <w:szCs w:val="32"/>
        </w:rPr>
        <w:t>截至2024年12月31日，实有职工人数124人，其中属于事业编制46人，编外辅助人员编制78人。另有退休人员27人。</w:t>
      </w:r>
    </w:p>
    <w:p w14:paraId="7FD16CDE">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截至20</w:t>
      </w:r>
      <w:r>
        <w:rPr>
          <w:rFonts w:hint="eastAsia" w:ascii="Times New Roman" w:hAnsi="Times New Roman" w:eastAsia="方正仿宋_GBK"/>
          <w:sz w:val="32"/>
          <w:szCs w:val="32"/>
        </w:rPr>
        <w:t>24</w:t>
      </w:r>
      <w:r>
        <w:rPr>
          <w:rFonts w:ascii="Times New Roman" w:hAnsi="Times New Roman" w:eastAsia="方正仿宋_GBK"/>
          <w:sz w:val="32"/>
          <w:szCs w:val="32"/>
        </w:rPr>
        <w:t>年12月31日，人才中心资产总额为</w:t>
      </w:r>
      <w:r>
        <w:rPr>
          <w:rFonts w:hint="eastAsia" w:ascii="Times New Roman" w:hAnsi="Times New Roman" w:eastAsia="方正仿宋_GBK"/>
          <w:sz w:val="32"/>
          <w:szCs w:val="32"/>
        </w:rPr>
        <w:t>3578.13</w:t>
      </w:r>
      <w:r>
        <w:rPr>
          <w:rFonts w:ascii="Times New Roman" w:hAnsi="Times New Roman" w:eastAsia="方正仿宋_GBK"/>
          <w:sz w:val="32"/>
          <w:szCs w:val="32"/>
        </w:rPr>
        <w:t>万元。流动资产</w:t>
      </w:r>
      <w:r>
        <w:rPr>
          <w:rFonts w:hint="eastAsia" w:ascii="Times New Roman" w:hAnsi="Times New Roman" w:eastAsia="方正仿宋_GBK"/>
          <w:sz w:val="32"/>
          <w:szCs w:val="32"/>
        </w:rPr>
        <w:t>624.23</w:t>
      </w:r>
      <w:r>
        <w:rPr>
          <w:rFonts w:ascii="Times New Roman" w:hAnsi="Times New Roman" w:eastAsia="方正仿宋_GBK"/>
          <w:sz w:val="32"/>
          <w:szCs w:val="32"/>
        </w:rPr>
        <w:t>万元，占资产总额的</w:t>
      </w:r>
      <w:r>
        <w:rPr>
          <w:rFonts w:hint="eastAsia" w:ascii="Times New Roman" w:hAnsi="Times New Roman" w:eastAsia="方正仿宋_GBK"/>
          <w:sz w:val="32"/>
          <w:szCs w:val="32"/>
        </w:rPr>
        <w:t>17.45 %</w:t>
      </w:r>
      <w:r>
        <w:rPr>
          <w:rFonts w:ascii="Times New Roman" w:hAnsi="Times New Roman" w:eastAsia="方正仿宋_GBK"/>
          <w:sz w:val="32"/>
          <w:szCs w:val="32"/>
        </w:rPr>
        <w:t>，主要为货币资金。非流动资产</w:t>
      </w:r>
      <w:r>
        <w:rPr>
          <w:rFonts w:hint="eastAsia" w:ascii="Times New Roman" w:hAnsi="Times New Roman" w:eastAsia="方正仿宋_GBK"/>
          <w:sz w:val="32"/>
          <w:szCs w:val="32"/>
        </w:rPr>
        <w:t>2953.90</w:t>
      </w:r>
      <w:r>
        <w:rPr>
          <w:rFonts w:ascii="Times New Roman" w:hAnsi="Times New Roman" w:eastAsia="方正仿宋_GBK"/>
          <w:sz w:val="32"/>
          <w:szCs w:val="32"/>
        </w:rPr>
        <w:t>万元，其中固定资产净值</w:t>
      </w:r>
      <w:r>
        <w:rPr>
          <w:rFonts w:hint="eastAsia" w:ascii="Times New Roman" w:hAnsi="Times New Roman" w:eastAsia="方正仿宋_GBK"/>
          <w:sz w:val="32"/>
          <w:szCs w:val="32"/>
        </w:rPr>
        <w:t>2953.90</w:t>
      </w:r>
      <w:r>
        <w:rPr>
          <w:rFonts w:ascii="Times New Roman" w:hAnsi="Times New Roman" w:eastAsia="方正仿宋_GBK"/>
          <w:sz w:val="32"/>
          <w:szCs w:val="32"/>
        </w:rPr>
        <w:t>万元,占资产总额的</w:t>
      </w:r>
      <w:r>
        <w:rPr>
          <w:rFonts w:hint="eastAsia" w:ascii="Times New Roman" w:hAnsi="Times New Roman" w:eastAsia="方正仿宋_GBK"/>
          <w:sz w:val="32"/>
          <w:szCs w:val="32"/>
        </w:rPr>
        <w:t>82.55</w:t>
      </w:r>
      <w:r>
        <w:rPr>
          <w:rFonts w:ascii="Times New Roman" w:hAnsi="Times New Roman" w:eastAsia="方正仿宋_GBK"/>
          <w:sz w:val="32"/>
          <w:szCs w:val="32"/>
        </w:rPr>
        <w:t>%。</w:t>
      </w:r>
    </w:p>
    <w:p w14:paraId="2DEA52D1">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3. 重点工作任务</w:t>
      </w:r>
    </w:p>
    <w:p w14:paraId="2B4561F8">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优化引才渠道平台，更加积极有效引进人才。一是编制《2024年度南京“4266”创新型产业集群紧缺人才需求目录》和人才驿站2024年度《南京创新型产业集群站点城市重点高校人才分布报告》，深度挖掘人岗需求，发挥引才导向效用，促进人岗精准对接。二是结合我市人才集聚平台核心区、“4266”创新型产业集群和高水平新型研发机构建设需求，进一步支持用人主体发挥作用，继续开展2024年创新型产业系列专场等招聘活动。三是持续发挥南京人才驿站引才作用，实时更新驿站动态、人才资讯和各区人才政策，加强海外社交媒体宣传，配套开展面向留学生的求职规划主题分享课等线上主题活动；依托驿站资源开展成熟人才及异地校园招聘。四是继续做好对接问需问卷调查，持续为高校毕业生推送匹配岗位。五是通过联办招聘会等方式，推进“宁淮合作”、“宁滁合作”项目，盘活对口城市人岗资源。六是常态化举办线上线下招聘会，为用人单位和求职者提供常规招聘服务。</w:t>
      </w:r>
    </w:p>
    <w:p w14:paraId="6D55A10D">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切实提升人才服务，营造尊才重才浓厚氛围。聚焦人才“关键小事”和“暖心实事”，做好窗口各项工作。一是及时做好2024年高校毕业生档案接收、录入等工作，增加对未就业毕业生发送服务信息等服务措施，确保毕业生档案及时接收、存管。结合我省进一步规范人事代理和流动人员人事档案管理的要求，会同各区（园区）加强业务培训、统一经办口径，不断提高线下、线上窗口服务满意度。对苏苑大厦的档案管理开展数字化转换试点工作。二是做好2024年度职称初定以及市建设工程中、高级职称评审工作，加强职称初定和评审“事前、事中、事后”全过程监督，严肃职称工作纪律。三是继续开展好线上继续教育专业课学习、课程上线等工作，同时强化中心培训服务职能，启动南京市事业单位新进人员培训。四是开展高校毕业生“感知体验行动”，提升毕业生留宁就业意愿。五是每月持续推出“宁聚汇”线上沙龙，和各区创业园合作开展线下“宁聚汇”创业沙龙，同时适时举办“宁聚汇”HR赋能提升系列活动，提升青年人才创业能力。六是继续做好“尚贤”人才服务热线和人才服务云平台“一台一线”相关工作，为各类人才提供个性化精准服务。</w:t>
      </w:r>
    </w:p>
    <w:p w14:paraId="1D23F15E">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积极推进信息化建设，提高人才服务数字化水平。围绕公共就业示范项目建设要求，一是开发远程面试、职业性格测试和模拟求职面试系统，推进招聘特色功能区建设；二是开发感知体验行动小程序，实现活动报名、展示、数据统计、政策推送等功能，助力活动提升增效；三是开发创新型产业人才地图，协助企业解决紧缺人才引才问题。四是开发常规型求职人才库，根据求职人员提交的需求，进行岗位匹配、精准推送。在强化本市人才信息化服务机制的同时，积极推进都市圈人才资源共建共享，建设以南京都市圈为核心的线上“跨苏皖招聘平台”，实现苏皖省级平台对接，加快长三角人才柔性流动。</w:t>
      </w:r>
    </w:p>
    <w:p w14:paraId="4DFCFE27">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4）党建引领融合赋能，助力高质量发展。围绕新时代党的建设总要求，坚持党要管党、全面从严治党。一是逐级压实党建工作责任制，不断巩固拓展主题教育成果，做好主题教育“后半篇文章”，持续整改查摆出的各类问题短板。二是着力推动组织建设标准化、规范化，严格组织生活和各项制度落实。进一步强化队伍建设，针对新换届的党总支和支部班子开展专题培训，不断提升履职能力。三是注重加强党员发展工作，有序推进发展流程步骤，审慎依规严把入口关。四是扎实推进流动党员工作。加强党员教育管理和日常服务，促进党建融合人才服务再上新台阶。</w:t>
      </w:r>
    </w:p>
    <w:p w14:paraId="316F09F2">
      <w:pPr>
        <w:spacing w:line="560" w:lineRule="exact"/>
        <w:ind w:firstLine="640" w:firstLineChars="200"/>
        <w:rPr>
          <w:rFonts w:ascii="方正楷体_GBK" w:hAnsi="Times New Roman" w:eastAsia="方正楷体_GBK"/>
          <w:sz w:val="32"/>
          <w:szCs w:val="32"/>
        </w:rPr>
      </w:pPr>
      <w:r>
        <w:rPr>
          <w:rFonts w:hint="eastAsia" w:ascii="方正楷体_GBK" w:hAnsi="Times New Roman" w:eastAsia="方正楷体_GBK"/>
          <w:sz w:val="32"/>
          <w:szCs w:val="32"/>
        </w:rPr>
        <w:t>（二）资金预算与执行情况</w:t>
      </w:r>
    </w:p>
    <w:p w14:paraId="1E9B50DE">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2024年1－12月份人才中心年初预算拨款2876.09万元，实际收到财政拨款2700.13万元，2024年银行存款利息收入0.05万元，2024年收入合计2700.18万元。</w:t>
      </w:r>
    </w:p>
    <w:p w14:paraId="2797BD08">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2024年缴纳非税收入184.71万元。其中：职称评审费184.56万元，资产处置收入0.15万元。</w:t>
      </w:r>
    </w:p>
    <w:p w14:paraId="2C33F868">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2024年1－12月份总支出2694.25万元，本年支出合计2694.25万元；使用非财政拨款结余0.00万元，结余分配0.00万元</w:t>
      </w:r>
      <w:r>
        <w:rPr>
          <w:rFonts w:hint="eastAsia" w:ascii="Times New Roman" w:hAnsi="Times New Roman" w:eastAsia="方正仿宋_GBK"/>
          <w:color w:val="FF0000"/>
          <w:sz w:val="32"/>
          <w:szCs w:val="32"/>
        </w:rPr>
        <w:t>后</w:t>
      </w:r>
      <w:r>
        <w:rPr>
          <w:rFonts w:hint="eastAsia" w:ascii="Times New Roman" w:hAnsi="Times New Roman" w:eastAsia="方正仿宋_GBK"/>
          <w:sz w:val="32"/>
          <w:szCs w:val="32"/>
        </w:rPr>
        <w:t>，年末结转结余5.93万元。</w:t>
      </w:r>
      <w:r>
        <w:rPr>
          <w:rFonts w:ascii="Times New Roman" w:hAnsi="Times New Roman" w:eastAsia="方正仿宋_GBK"/>
          <w:sz w:val="32"/>
          <w:szCs w:val="32"/>
        </w:rPr>
        <w:t>部门预算资金拨付到位率为100%，</w:t>
      </w:r>
      <w:r>
        <w:rPr>
          <w:rFonts w:hint="eastAsia" w:ascii="Times New Roman" w:hAnsi="Times New Roman" w:eastAsia="方正仿宋_GBK"/>
          <w:sz w:val="32"/>
          <w:szCs w:val="32"/>
        </w:rPr>
        <w:t>支出预算完成率99.78</w:t>
      </w:r>
      <w:r>
        <w:rPr>
          <w:rFonts w:ascii="Times New Roman" w:hAnsi="Times New Roman" w:eastAsia="方正仿宋_GBK"/>
          <w:sz w:val="32"/>
          <w:szCs w:val="32"/>
        </w:rPr>
        <w:t>%。</w:t>
      </w:r>
    </w:p>
    <w:p w14:paraId="0AD5E215">
      <w:pPr>
        <w:spacing w:line="560" w:lineRule="exact"/>
        <w:ind w:firstLine="640" w:firstLineChars="200"/>
        <w:rPr>
          <w:rFonts w:ascii="方正楷体_GBK" w:hAnsi="Times New Roman" w:eastAsia="方正楷体_GBK"/>
          <w:sz w:val="32"/>
          <w:szCs w:val="32"/>
        </w:rPr>
      </w:pPr>
      <w:r>
        <w:rPr>
          <w:rFonts w:hint="eastAsia" w:ascii="方正楷体_GBK" w:hAnsi="Times New Roman" w:eastAsia="方正楷体_GBK"/>
          <w:sz w:val="32"/>
          <w:szCs w:val="32"/>
        </w:rPr>
        <w:t>（三）部门绩效目标</w:t>
      </w:r>
    </w:p>
    <w:p w14:paraId="5D4142FA">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 中长期战略目标</w:t>
      </w:r>
    </w:p>
    <w:p w14:paraId="77DAE690">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一是结合建设人民满意的现代化典范城市，加快创建国家高水平人才集聚平台的战略目标，履行好平台聚才和服务留才的重要责任，充分发挥中心线上线下各类引才渠道作用，为南京“4266”产业体系以及经济社会发展提供高质量人才支持。二是立足畅通南京都市圈同城化和长三角一体化人才配置循环，发挥南京枢纽作用，加强与周边城市人才活动、服务事项和人才供求信息的资源共享，健全完善区域协同的人才服务合作机制，促进人力资源优化配置，推动人才服务整合衔接。三是结合各类人才日益细化的服务需求，不断加强“互联网+”人才服务建设，打造人才服务新生态。持续优化档案窗口服务，提升服务对象“一站式服务，一门式办结”以及“零距离”办事服务体验。积极拓展人才培训、人才评价服务项目，提升人才培养质效。坚持营造良好的留才环境，不断推进社会治理体系和治理能力的现代化，提升人才获得感。</w:t>
      </w:r>
    </w:p>
    <w:p w14:paraId="74F5D53E">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2. 年度目标</w:t>
      </w:r>
    </w:p>
    <w:p w14:paraId="7FBB3117">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做好2024年高校毕业生档案接收工作。立足省人社一体化信息平台，提前做好接收预案，对档案接收、录入、人员安排、窗口接待疏导、系统维护等制定应对方案。做好省“人社一体化信息平台”运行工作。充分利用好省人社一体化信息平台，在办事过程中，及时收集汇总业务操作问题并反馈局信息中心。做好对外宣传及对内培训工作。加大对外宣传力度，积极通过微信公众号推送毕业生档案接收、档案业务经办等相关文章，适时组织各区（园）区人才中心档案业务经办人员的培训工作,确保各级业务办理顺畅。做好库房管理工作。做好库房档案的日常使用、清查盘点、维护保障工作，确保人事档案安全保管。全年完成接收毕业生档案份数≥6000份；使用档案份数≥23000份；为代理单位、人员线上线下办理档案综合业务份数全年≥28500份；档案转递（机要）份数≥4500份。</w:t>
      </w:r>
    </w:p>
    <w:p w14:paraId="4CBF6497">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（2）</w:t>
      </w:r>
      <w:r>
        <w:rPr>
          <w:rFonts w:hint="eastAsia" w:ascii="Times New Roman" w:hAnsi="Times New Roman" w:eastAsia="方正仿宋_GBK"/>
          <w:sz w:val="32"/>
          <w:szCs w:val="32"/>
        </w:rPr>
        <w:t>加强人才配置，助力产业发展。结合重点产业人才需求、重大活动安排，通过人才招聘专场、互动式面试对接会等方式，持续深化引才垂直服务，做到人才直达，精准对接，预计全年举办线上线下人才招聘会150场。围绕南京“4266”产业体系人才需求，举办系列专场招聘会；承办由人力资源和社会保障部发起的全国大中城市联合招聘高校毕业生巡回招聘会“南京站”；强化“南京人才驿站”引才作用，通过网站专区、驿站专场、校园服务部等多种方式为南京市引才、聚才、用才做好服务；举办“宁聚汇”HR赋能提升系列活动；完成《2024年度南京市创新型产业体系紧缺人才需求目录》制定及发布工作，为政府和人力资源机构引才提供依据参考。</w:t>
      </w:r>
    </w:p>
    <w:p w14:paraId="28EF499B">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（3）做好继续教育和职称评介工作。做好专业技术人员继续教育网上授课、网上学时验证工作</w:t>
      </w:r>
      <w:r>
        <w:rPr>
          <w:rFonts w:hint="eastAsia" w:ascii="Times New Roman" w:hAnsi="Times New Roman" w:eastAsia="方正仿宋_GBK"/>
          <w:sz w:val="32"/>
          <w:szCs w:val="32"/>
        </w:rPr>
        <w:t>，</w:t>
      </w:r>
      <w:r>
        <w:rPr>
          <w:rFonts w:ascii="Times New Roman" w:hAnsi="Times New Roman" w:eastAsia="方正仿宋_GBK"/>
          <w:sz w:val="32"/>
          <w:szCs w:val="32"/>
        </w:rPr>
        <w:t>适时发布新课件；</w:t>
      </w:r>
      <w:r>
        <w:rPr>
          <w:rFonts w:hint="eastAsia" w:ascii="Times New Roman" w:hAnsi="Times New Roman" w:eastAsia="方正仿宋_GBK"/>
          <w:sz w:val="32"/>
          <w:szCs w:val="32"/>
        </w:rPr>
        <w:t>做好职称初定和评审工作，实现了“一网通办”的服务模式，在职称初定工作中不断优化内部监督机制和职称初定系统，将风险防控工作落到实处，切实保障职称工作在公平、公正、公开的环境下进行，为南京经济社会建设高标准严要求选拔优秀人才</w:t>
      </w:r>
      <w:r>
        <w:rPr>
          <w:rFonts w:ascii="Times New Roman" w:hAnsi="Times New Roman" w:eastAsia="方正仿宋_GBK"/>
          <w:sz w:val="32"/>
          <w:szCs w:val="32"/>
        </w:rPr>
        <w:t>；</w:t>
      </w:r>
      <w:r>
        <w:rPr>
          <w:rFonts w:hint="eastAsia" w:ascii="Times New Roman" w:hAnsi="Times New Roman" w:eastAsia="方正仿宋_GBK"/>
          <w:sz w:val="32"/>
          <w:szCs w:val="32"/>
        </w:rPr>
        <w:t>2024年职称评审费收费目标预算150万元；运用网络培训与面授培训相结合的方式，开展专业技术人员继续教育专业课的培训，购买课件丰富线上教学内容；根据“宁聚”十项行动持续开展高校毕业生“感知体验行动”；优化营商环境、助力“宁聚”行动，促进创业园区和创业企业高质量发展，举办“宁聚汇”创业沙龙；根据《事业单位工作人员培训规定》，启动市属事业单位新进人员培训。</w:t>
      </w:r>
    </w:p>
    <w:p w14:paraId="4223D313">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（4）加强流动党员教育和管理。</w:t>
      </w:r>
      <w:r>
        <w:rPr>
          <w:rFonts w:hint="eastAsia" w:ascii="Times New Roman" w:hAnsi="Times New Roman" w:eastAsia="方正仿宋_GBK"/>
          <w:sz w:val="32"/>
          <w:szCs w:val="32"/>
        </w:rPr>
        <w:t>多渠道加强对流动党员的教育，增强和流动党员的联系。做好对基层党支部的调研指导，一方面指导支部工作，另一方面解决支部难题。加强和人力资源行业党建联盟成员单位的沟通交流，进一步发挥联盟单位的资源互通和政策落地，推动党建联盟合作再出新成效。增强流动党员政治引领力、服务凝聚力。借助新媒体等多种方式强化流动党员动态管理，保持流动党员与组织联系。坚持向党员推送理论学习文章，每季度至少组织1次活动流动党员活动，加强党员教育。通过微信端流动党员模块，在线开展流动党员宣传教育和网上党建工作。</w:t>
      </w:r>
    </w:p>
    <w:p w14:paraId="22A641BB">
      <w:pPr>
        <w:spacing w:line="56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二、评价结论</w:t>
      </w:r>
    </w:p>
    <w:p w14:paraId="56CC8B5E">
      <w:pPr>
        <w:spacing w:line="560"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（一）评价对象</w:t>
      </w:r>
    </w:p>
    <w:p w14:paraId="5563A1B4">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本次评价对象为</w:t>
      </w:r>
      <w:r>
        <w:rPr>
          <w:rFonts w:hint="eastAsia" w:ascii="Times New Roman" w:hAnsi="Times New Roman" w:eastAsia="方正仿宋_GBK"/>
          <w:sz w:val="32"/>
          <w:szCs w:val="32"/>
        </w:rPr>
        <w:t>2024</w:t>
      </w:r>
      <w:r>
        <w:rPr>
          <w:rFonts w:ascii="Times New Roman" w:hAnsi="Times New Roman" w:eastAsia="方正仿宋_GBK"/>
          <w:sz w:val="32"/>
          <w:szCs w:val="32"/>
        </w:rPr>
        <w:t>年南京市人才服务中心整体预算。</w:t>
      </w:r>
      <w:r>
        <w:rPr>
          <w:rFonts w:hint="eastAsia" w:ascii="Times New Roman" w:hAnsi="Times New Roman" w:eastAsia="方正仿宋_GBK"/>
          <w:sz w:val="32"/>
          <w:szCs w:val="32"/>
        </w:rPr>
        <w:t>2024</w:t>
      </w:r>
      <w:r>
        <w:rPr>
          <w:rFonts w:ascii="Times New Roman" w:hAnsi="Times New Roman" w:eastAsia="方正仿宋_GBK"/>
          <w:sz w:val="32"/>
          <w:szCs w:val="32"/>
        </w:rPr>
        <w:t>年南京市人才服务中心整体</w:t>
      </w:r>
      <w:r>
        <w:rPr>
          <w:rFonts w:hint="eastAsia" w:ascii="Times New Roman" w:hAnsi="Times New Roman" w:eastAsia="方正仿宋_GBK"/>
          <w:sz w:val="32"/>
          <w:szCs w:val="32"/>
        </w:rPr>
        <w:t>预</w:t>
      </w:r>
      <w:r>
        <w:rPr>
          <w:rFonts w:ascii="Times New Roman" w:hAnsi="Times New Roman" w:eastAsia="方正仿宋_GBK"/>
          <w:sz w:val="32"/>
          <w:szCs w:val="32"/>
        </w:rPr>
        <w:t>算支出</w:t>
      </w:r>
      <w:r>
        <w:rPr>
          <w:rFonts w:hint="eastAsia" w:ascii="Times New Roman" w:hAnsi="Times New Roman" w:eastAsia="方正仿宋_GBK"/>
          <w:sz w:val="32"/>
          <w:szCs w:val="32"/>
        </w:rPr>
        <w:t>2694.25</w:t>
      </w:r>
      <w:r>
        <w:rPr>
          <w:rFonts w:ascii="Times New Roman" w:hAnsi="Times New Roman" w:eastAsia="方正仿宋_GBK"/>
          <w:sz w:val="32"/>
          <w:szCs w:val="32"/>
        </w:rPr>
        <w:t>万元，绩效评价时段为202</w:t>
      </w:r>
      <w:r>
        <w:rPr>
          <w:rFonts w:hint="eastAsia" w:ascii="Times New Roman" w:hAnsi="Times New Roman" w:eastAsia="方正仿宋_GBK"/>
          <w:sz w:val="32"/>
          <w:szCs w:val="32"/>
        </w:rPr>
        <w:t>4</w:t>
      </w:r>
      <w:r>
        <w:rPr>
          <w:rFonts w:ascii="Times New Roman" w:hAnsi="Times New Roman" w:eastAsia="方正仿宋_GBK"/>
          <w:sz w:val="32"/>
          <w:szCs w:val="32"/>
        </w:rPr>
        <w:t>年1月1日至202</w:t>
      </w:r>
      <w:r>
        <w:rPr>
          <w:rFonts w:hint="eastAsia" w:ascii="Times New Roman" w:hAnsi="Times New Roman" w:eastAsia="方正仿宋_GBK"/>
          <w:sz w:val="32"/>
          <w:szCs w:val="32"/>
        </w:rPr>
        <w:t>4</w:t>
      </w:r>
      <w:r>
        <w:rPr>
          <w:rFonts w:ascii="Times New Roman" w:hAnsi="Times New Roman" w:eastAsia="方正仿宋_GBK"/>
          <w:sz w:val="32"/>
          <w:szCs w:val="32"/>
        </w:rPr>
        <w:t>年12</w:t>
      </w:r>
      <w:r>
        <w:rPr>
          <w:rFonts w:hint="eastAsia" w:ascii="Times New Roman" w:hAnsi="Times New Roman" w:eastAsia="方正仿宋_GBK"/>
          <w:sz w:val="32"/>
          <w:szCs w:val="32"/>
        </w:rPr>
        <w:t>月</w:t>
      </w:r>
      <w:r>
        <w:rPr>
          <w:rFonts w:ascii="Times New Roman" w:hAnsi="Times New Roman" w:eastAsia="方正仿宋_GBK"/>
          <w:sz w:val="32"/>
          <w:szCs w:val="32"/>
        </w:rPr>
        <w:t>31日。</w:t>
      </w:r>
    </w:p>
    <w:p w14:paraId="081FF724">
      <w:pPr>
        <w:spacing w:line="560"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（二）评价结论</w:t>
      </w:r>
    </w:p>
    <w:p w14:paraId="488C95DB">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本次评价以市人才部门预算为主线，紧扣部门职能与绩效目标，运用成本效益分析法、比较法等评价方法对202</w:t>
      </w:r>
      <w:r>
        <w:rPr>
          <w:rFonts w:hint="eastAsia" w:ascii="Times New Roman" w:hAnsi="Times New Roman" w:eastAsia="方正仿宋_GBK"/>
          <w:sz w:val="32"/>
          <w:szCs w:val="32"/>
        </w:rPr>
        <w:t>4</w:t>
      </w:r>
      <w:r>
        <w:rPr>
          <w:rFonts w:ascii="Times New Roman" w:hAnsi="Times New Roman" w:eastAsia="方正仿宋_GBK"/>
          <w:sz w:val="32"/>
          <w:szCs w:val="32"/>
        </w:rPr>
        <w:t>年度南京市人才服务中心整体</w:t>
      </w:r>
      <w:r>
        <w:rPr>
          <w:rFonts w:hint="eastAsia" w:ascii="Times New Roman" w:hAnsi="Times New Roman" w:eastAsia="方正仿宋_GBK"/>
          <w:sz w:val="32"/>
          <w:szCs w:val="32"/>
        </w:rPr>
        <w:t>预算</w:t>
      </w:r>
      <w:r>
        <w:rPr>
          <w:rFonts w:ascii="Times New Roman" w:hAnsi="Times New Roman" w:eastAsia="方正仿宋_GBK"/>
          <w:sz w:val="32"/>
          <w:szCs w:val="32"/>
        </w:rPr>
        <w:t>进行绩效评价，经综合评定，得分为</w:t>
      </w:r>
      <w:r>
        <w:rPr>
          <w:rFonts w:hint="eastAsia" w:ascii="Times New Roman" w:hAnsi="Times New Roman" w:eastAsia="方正仿宋_GBK"/>
          <w:sz w:val="32"/>
          <w:szCs w:val="32"/>
        </w:rPr>
        <w:t>97.5</w:t>
      </w:r>
      <w:r>
        <w:rPr>
          <w:rFonts w:ascii="Times New Roman" w:hAnsi="Times New Roman" w:eastAsia="方正仿宋_GBK"/>
          <w:sz w:val="32"/>
          <w:szCs w:val="32"/>
        </w:rPr>
        <w:t>分，等级为</w:t>
      </w:r>
      <w:r>
        <w:rPr>
          <w:rFonts w:hint="eastAsia" w:ascii="Times New Roman" w:hAnsi="Times New Roman" w:eastAsia="方正仿宋_GBK"/>
          <w:sz w:val="32"/>
          <w:szCs w:val="32"/>
        </w:rPr>
        <w:t>优</w:t>
      </w:r>
      <w:r>
        <w:rPr>
          <w:rFonts w:ascii="Times New Roman" w:hAnsi="Times New Roman" w:eastAsia="方正仿宋_GBK"/>
          <w:sz w:val="32"/>
          <w:szCs w:val="32"/>
        </w:rPr>
        <w:t>。</w:t>
      </w:r>
    </w:p>
    <w:p w14:paraId="6946FDC8">
      <w:pPr>
        <w:spacing w:line="56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三、部门履职成效</w:t>
      </w:r>
    </w:p>
    <w:p w14:paraId="299AAFE6">
      <w:pPr>
        <w:spacing w:line="560"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（一）档案管理和人事代理主要完成工作</w:t>
      </w:r>
    </w:p>
    <w:p w14:paraId="2DFCE897">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一是常规业务量化统计。2024年全年开具调档函4810件次，办理转出档案8945件次，开具各类证明3701件次，整理装订档案2239份，办理户籍业务524人次，为340家单位批量提供档案服务7041件次。阅（借）档39192份，复印档案材料4484份,39718页，远程阅档个人基本信息查询348人次，提供材料影印259份。苏苑办理转出档案、出具证明、归档等业务共计2968件次。库房累计使用档案59924份，接收档案7432份，换袋上架归还档案59423份，人才大厦库房与苏苑库房内部转递档案6830份，中心市本级库房（含苏苑大厦）在库档案约42.75万份。二是提升服务效能，优化服务事项。开发苏苑大厦库房与市本级库房内部转接预约功能，方便单位、办事人员及时查阅档案，节约群众办事时间。完成《业务指南》《服务指南》宣传单的校对、修正并交付印刷；完善档案综合业务热点问题应答并在微信公众号推送展示；配合推进“人才一件事”工作，进一步完善了档案接收、信息查询、户籍办理事项；完成“人才服务中心”微信公众号、12333知识库中“档案管理业务指南”内容更新。三是加强作风建设。组织业务骨干参加人社审批服务规范化管理培训会，比照“五</w:t>
      </w:r>
      <w:r>
        <w:rPr>
          <w:rFonts w:hint="eastAsia" w:ascii="Times New Roman" w:hAnsi="Times New Roman" w:eastAsia="方正仿宋_GBK"/>
          <w:sz w:val="32"/>
          <w:szCs w:val="32"/>
          <w:lang w:val="en-US" w:eastAsia="zh-CN"/>
        </w:rPr>
        <w:t>拼</w:t>
      </w:r>
      <w:bookmarkStart w:id="2" w:name="_GoBack"/>
      <w:bookmarkEnd w:id="2"/>
      <w:r>
        <w:rPr>
          <w:rFonts w:hint="eastAsia" w:ascii="Times New Roman" w:hAnsi="Times New Roman" w:eastAsia="方正仿宋_GBK"/>
          <w:sz w:val="32"/>
          <w:szCs w:val="32"/>
        </w:rPr>
        <w:t>五比晒五榜”月度、季度、年度指标评比细则，进一步强化窗口接待、电话接听等工作流程；根据局作风建设相关要求，对照《2023年度机关作风建设满意度评议征集到的意见建议的整改清单》，对部门本级窗口服务进行自查并完成《整改清单》上报；严格落实工单办理“首问负责制”，全年工单办理共1189件。四是加强毕业生档案托管政策宣传，与南京市教育局国际交流处对接，统一全市高中毕业留学人员档案接收操作口径，组织人员进社区宣传毕业生档案服务，流动人才档案管理服务政策。五是戮力同心完成上级交办任务，助力市委组织部核查党员档案有序开展，完成了对宣传部、国资委</w:t>
      </w:r>
      <w:r>
        <w:rPr>
          <w:rFonts w:hint="eastAsia" w:ascii="Times New Roman" w:hAnsi="Times New Roman" w:eastAsia="方正仿宋_GBK"/>
          <w:sz w:val="32"/>
          <w:szCs w:val="32"/>
          <w:highlight w:val="none"/>
        </w:rPr>
        <w:t>、</w:t>
      </w:r>
      <w:r>
        <w:rPr>
          <w:rFonts w:hint="eastAsia" w:ascii="Times New Roman" w:hAnsi="Times New Roman" w:eastAsia="方正仿宋_GBK"/>
          <w:sz w:val="32"/>
          <w:szCs w:val="32"/>
          <w:highlight w:val="none"/>
          <w:lang w:val="en-US" w:eastAsia="zh-CN"/>
        </w:rPr>
        <w:t>市</w:t>
      </w:r>
      <w:r>
        <w:rPr>
          <w:rFonts w:hint="eastAsia" w:ascii="Times New Roman" w:hAnsi="Times New Roman" w:eastAsia="方正仿宋_GBK"/>
          <w:sz w:val="32"/>
          <w:szCs w:val="32"/>
          <w:highlight w:val="none"/>
        </w:rPr>
        <w:t>工信</w:t>
      </w:r>
      <w:r>
        <w:rPr>
          <w:rFonts w:hint="eastAsia" w:ascii="Times New Roman" w:hAnsi="Times New Roman" w:eastAsia="方正仿宋_GBK"/>
          <w:sz w:val="32"/>
          <w:szCs w:val="32"/>
          <w:highlight w:val="none"/>
          <w:lang w:val="en-US" w:eastAsia="zh-CN"/>
        </w:rPr>
        <w:t>局</w:t>
      </w:r>
      <w:r>
        <w:rPr>
          <w:rFonts w:hint="eastAsia" w:ascii="Times New Roman" w:hAnsi="Times New Roman" w:eastAsia="方正仿宋_GBK"/>
          <w:sz w:val="32"/>
          <w:szCs w:val="32"/>
          <w:highlight w:val="none"/>
        </w:rPr>
        <w:t>、</w:t>
      </w:r>
      <w:r>
        <w:rPr>
          <w:rFonts w:hint="eastAsia" w:ascii="Times New Roman" w:hAnsi="Times New Roman" w:eastAsia="方正仿宋_GBK"/>
          <w:sz w:val="32"/>
          <w:szCs w:val="32"/>
        </w:rPr>
        <w:t>公安局、卫健委、教育局等9个部门及13个区委组织部的接待任务，批量查阅党员档案37112本。</w:t>
      </w:r>
    </w:p>
    <w:p w14:paraId="30CBF93D">
      <w:pPr>
        <w:spacing w:line="560"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（二）人才交流与配置主要完成工作</w:t>
      </w:r>
    </w:p>
    <w:p w14:paraId="00DDC6D8">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一是做好才企需求搜集匹配。编制发布《2024年度南京市“4266”产业体系紧缺人才需求目录》，并首次收录《南京人才驿站站点城市重点高校人才分布报告》。二是办好各类招聘会。线上充分运用“就在江苏”省一体化平台，持续做好人才招聘工作；聚焦节后开工等节点举办的新春综合招聘会，与相关职能部门、国有企业合作举办2场行业专场招聘会，组织企业赴西安、杭州、宁波参加专场招聘会，围绕四大支柱产业和创新型产业人才需求举办8场专场招聘会，举办2024“南京人才日”开展青年人才嘉年华专场招聘会以及“人才嘉年华”南京师范大学暨仙林片区高校招聘活动，针对博士生举办2024年南京博士人才招聘会，为才企对接提供渠道。今年以来，线上线下共举办招聘会200场，进场用人单位1292家，提供岗位5814个，需求2.79万人。三是发挥好“南京人才驿站”国内外站点引才宣传前哨作用。以海内外15个站点为根基，通过“互联网+校园服务部”模式，1</w:t>
      </w:r>
      <w:r>
        <w:rPr>
          <w:rFonts w:hint="eastAsia" w:ascii="方正仿宋_GBK" w:hAnsi="Times New Roman" w:eastAsia="方正仿宋_GBK"/>
          <w:sz w:val="32"/>
          <w:szCs w:val="32"/>
        </w:rPr>
        <w:t>-</w:t>
      </w:r>
      <w:r>
        <w:rPr>
          <w:rFonts w:hint="eastAsia" w:ascii="Times New Roman" w:hAnsi="Times New Roman" w:eastAsia="方正仿宋_GBK"/>
          <w:sz w:val="32"/>
          <w:szCs w:val="32"/>
        </w:rPr>
        <w:t>12月举办成熟人才、海外云聘会、合肥站赴外校招等14场招聘活动，参会企业收到简历1672份，达成初步意向482人；驿站校园服务部，为百余位学生提供简历辅导和职业规划辅导服务，并成立南京晓庄学院分部，扩大服务规模。四是畅通人才流动渠道。建设“长三角招聘专区”整合了江苏、浙江、安徽三省40个地级市、上海市16个区以及南京都市圈相关成员市人社部门的求职招聘服务资源，实现了长三角区域内就业信息“一站式”展示、招聘岗位“一体式”检索以及苏浙皖三省求职简历“一键式”投递。</w:t>
      </w:r>
    </w:p>
    <w:p w14:paraId="11CA1663">
      <w:pPr>
        <w:spacing w:line="560"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（三）人才职称评介主要完成工作</w:t>
      </w:r>
    </w:p>
    <w:p w14:paraId="6DDD7E50">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2024年，人才评介部严格遵循相关规定，精心构建并推行高效流畅的工作全流程体系，实现当月完成职称初定审核、次月发布正式文件并公示评定结果，最终生成发放电子证书，全面提升了职称初定工作的效率与质量。全年网上审核职称初定通过7494人（其中员级388人、助理级6288人、中级818人），审核退回1504人；同时为积极响应服务事项“不见面”办理要求，落实“一网通办”部署，部门完善了职称评审费在线缴纳服务，为广大申报人员提供了更加便捷、高效、优质的服务体验，2024年南京市建设工程社会化初、中级职称通过网上初审5477人，其中4769人取得初、中级专业技术资格，708人未通过，整体通过率87%（助理级通过率99%、中级通过率87%）；建设工程高级（人才中心学科组）网上初审通过2563人，2097人取得高级专业技术资格，466人未通过，通过率82%，通过人员均已生成发放电子证书。2024年职称评审费收费184.56万元，超额完成年初预算目标。</w:t>
      </w:r>
    </w:p>
    <w:p w14:paraId="4DCBA913">
      <w:pPr>
        <w:spacing w:line="560"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（四）人才教育培训主要完成工作</w:t>
      </w:r>
    </w:p>
    <w:p w14:paraId="5934E5F6">
      <w:pPr>
        <w:spacing w:line="560" w:lineRule="exact"/>
        <w:ind w:firstLine="640" w:firstLineChars="200"/>
        <w:rPr>
          <w:rFonts w:ascii="Times New Roman" w:hAnsi="方正仿宋_GBK" w:eastAsia="方正仿宋_GBK"/>
          <w:sz w:val="32"/>
          <w:szCs w:val="32"/>
        </w:rPr>
      </w:pPr>
      <w:r>
        <w:rPr>
          <w:rFonts w:hint="eastAsia" w:ascii="Times New Roman" w:hAnsi="方正仿宋_GBK" w:eastAsia="方正仿宋_GBK"/>
          <w:sz w:val="32"/>
          <w:szCs w:val="32"/>
        </w:rPr>
        <w:t>一是做好继续教育工作。根据我市产业发展重点和继续教育的最新要求，2024年度增加40学时，累计280学时。新增学习注册人数30194，累计人数135719，在线学习人数36593，完成学时数3706123课时。二是开展高校毕业生“感知体验行动”。2024年度共举办“感知体验行动”22场，组织南京工业大学、南京理工大学、南京财经大学等7所高校近600名高校毕业生走出校园、深入近30家企业及园区，增加实习实践经历，提升就业创业能力。让青年学子在实地走访中触摸南京产业发展脉搏，在政策解读中把握就业创业机遇，在文化体验中增强城市认同感。让高校毕业生走进南京、了解南京、扎根南京。针对海归人才，举办海智湾“感知体验行动”和海智湾“宁聚汇”就创业沙龙。为近200名海外归国留学生搭建交流平台，聚焦尖端科技、人工智能、生物医药等热门领域，助力其融入南京创新生态。三是启动市属事业单位新进人员培训工作。举办事业单位新进人员培训班3期，来自我市28家市属事业单位的205名新进工作人员参加了为期五天的脱产培训。既有政治思想理论培训，也有单位工作实务课程，充分考虑事业单位新进人员应该具备的正确的政治方向、坚定的理论自信和高度的责任意识，助力提升其政治鉴别能力及公共服务能力。</w:t>
      </w:r>
    </w:p>
    <w:p w14:paraId="5FB9A3E0">
      <w:pPr>
        <w:spacing w:line="560"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（五）流动党员管理服务主要完成工作</w:t>
      </w:r>
    </w:p>
    <w:p w14:paraId="04EDEE97">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一是强化理论武装。2024年联合党委坚持线下寄学和线上送学相结合，为1000余名流动党员寄送书籍送学上门，推送学习材料127篇，定期邀请专家教授进行辅导解读。二是筑牢意识形态。严格落实意识形态工作责任制，定期专题研究意识形态工作，邀请网信办专家进行专题辅导，引导党员贯彻落实《党员网络行为规定》。三是开展党纪学习教育。党委及时拟定工作方案，组织党员集中学习和研讨交流，邀请市委党校刘玉东教授以《学习领会〈中国共产党纪律处分条例〉》为题进行党纪学习教育专题授课辅导，党委书记结合学习心得上专题纪律党课，开展“尚廉行”主题党日，先后赴栖霞区、建邺区党风廉政警示教育馆进行廉政教育。四是做好日常服务。为有需要的支部更新党建园地。及时向流动党员推送招聘会和岗位信息。做好日常党费收缴工作，全年收缴党费30余万元。为有转出意愿的党员及时办理组织关系转接手续。</w:t>
      </w:r>
    </w:p>
    <w:p w14:paraId="52820E52">
      <w:pPr>
        <w:spacing w:line="56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四、存在问题及原因分析</w:t>
      </w:r>
    </w:p>
    <w:p w14:paraId="0A1F5D9A">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（一）部门履职效果还须提升。</w:t>
      </w:r>
      <w:r>
        <w:rPr>
          <w:rFonts w:ascii="Times New Roman" w:hAnsi="Times New Roman" w:eastAsia="方正仿宋_GBK"/>
          <w:sz w:val="32"/>
          <w:szCs w:val="32"/>
        </w:rPr>
        <w:t>对人才服务对象提供的公共服务还需进一步细化，进一步落实“放管服”改革和省一体化信息平台工作要求，不断提升服务对象获得感；</w:t>
      </w:r>
    </w:p>
    <w:p w14:paraId="7C149A5A">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（二）绩效指标体系还不够完善、细化程度不够深。</w:t>
      </w:r>
      <w:r>
        <w:rPr>
          <w:rFonts w:ascii="Times New Roman" w:hAnsi="Times New Roman" w:eastAsia="方正仿宋_GBK"/>
          <w:sz w:val="32"/>
          <w:szCs w:val="32"/>
        </w:rPr>
        <w:t>绩效指标设置还缺乏合理性和科学性，不能有效地实现绩效管理工作的效果。</w:t>
      </w:r>
      <w:r>
        <w:rPr>
          <w:rFonts w:hint="eastAsia" w:ascii="Times New Roman" w:hAnsi="Times New Roman" w:eastAsia="方正仿宋_GBK"/>
          <w:sz w:val="32"/>
          <w:szCs w:val="32"/>
        </w:rPr>
        <w:t>造成这方面的主要原因是从业人员预算绩效专业知识欠缺和经验不足等因素的影响。</w:t>
      </w:r>
    </w:p>
    <w:p w14:paraId="49DEDDFB">
      <w:pPr>
        <w:spacing w:line="56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五、有关建议</w:t>
      </w:r>
    </w:p>
    <w:p w14:paraId="10310C0E">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（一）</w:t>
      </w:r>
      <w:r>
        <w:rPr>
          <w:rFonts w:hint="eastAsia" w:ascii="Times New Roman" w:hAnsi="Times New Roman" w:eastAsia="方正仿宋_GBK"/>
          <w:sz w:val="32"/>
          <w:szCs w:val="32"/>
        </w:rPr>
        <w:t>进一步</w:t>
      </w:r>
      <w:r>
        <w:rPr>
          <w:rFonts w:ascii="Times New Roman" w:hAnsi="Times New Roman" w:eastAsia="方正仿宋_GBK"/>
          <w:sz w:val="32"/>
          <w:szCs w:val="32"/>
        </w:rPr>
        <w:t>科学合理制定绩效目标及考核体系，</w:t>
      </w:r>
      <w:r>
        <w:rPr>
          <w:rFonts w:hint="eastAsia" w:ascii="Times New Roman" w:hAnsi="Times New Roman" w:eastAsia="方正仿宋_GBK"/>
          <w:sz w:val="32"/>
          <w:szCs w:val="32"/>
        </w:rPr>
        <w:t>有效提升履职效果。</w:t>
      </w:r>
      <w:r>
        <w:rPr>
          <w:rFonts w:hint="eastAsia" w:ascii="Times New Roman" w:hAnsi="Times New Roman" w:eastAsia="方正仿宋_GBK"/>
          <w:sz w:val="32"/>
          <w:szCs w:val="32"/>
          <w:highlight w:val="none"/>
        </w:rPr>
        <w:t>继续深入贯彻中央八项规定</w:t>
      </w:r>
      <w:r>
        <w:rPr>
          <w:rFonts w:hint="eastAsia" w:ascii="Times New Roman" w:hAnsi="Times New Roman" w:eastAsia="方正仿宋_GBK"/>
          <w:sz w:val="32"/>
          <w:szCs w:val="32"/>
          <w:highlight w:val="none"/>
          <w:lang w:val="en-US" w:eastAsia="zh-CN"/>
        </w:rPr>
        <w:t>精神</w:t>
      </w:r>
      <w:r>
        <w:rPr>
          <w:rFonts w:hint="eastAsia" w:ascii="Times New Roman" w:hAnsi="Times New Roman" w:eastAsia="方正仿宋_GBK"/>
          <w:sz w:val="32"/>
          <w:szCs w:val="32"/>
          <w:highlight w:val="none"/>
        </w:rPr>
        <w:t>及“过紧日子”</w:t>
      </w:r>
      <w:r>
        <w:rPr>
          <w:rFonts w:hint="eastAsia" w:ascii="Times New Roman" w:hAnsi="Times New Roman" w:eastAsia="方正仿宋_GBK"/>
          <w:sz w:val="32"/>
          <w:szCs w:val="32"/>
        </w:rPr>
        <w:t>的要求，在精打细算的同时，</w:t>
      </w:r>
      <w:r>
        <w:rPr>
          <w:rFonts w:ascii="Times New Roman" w:hAnsi="Times New Roman" w:eastAsia="方正仿宋_GBK"/>
          <w:sz w:val="32"/>
          <w:szCs w:val="32"/>
        </w:rPr>
        <w:t>充分发挥</w:t>
      </w:r>
      <w:r>
        <w:rPr>
          <w:rFonts w:hint="eastAsia" w:ascii="Times New Roman" w:hAnsi="Times New Roman" w:eastAsia="方正仿宋_GBK"/>
          <w:sz w:val="32"/>
          <w:szCs w:val="32"/>
        </w:rPr>
        <w:t>财政资金</w:t>
      </w:r>
      <w:r>
        <w:rPr>
          <w:rFonts w:ascii="Times New Roman" w:hAnsi="Times New Roman" w:eastAsia="方正仿宋_GBK"/>
          <w:sz w:val="32"/>
          <w:szCs w:val="32"/>
        </w:rPr>
        <w:t>绩效效用。</w:t>
      </w:r>
    </w:p>
    <w:p w14:paraId="7184391C">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（二）</w:t>
      </w:r>
      <w:r>
        <w:rPr>
          <w:rFonts w:hint="eastAsia" w:ascii="Times New Roman" w:hAnsi="Times New Roman" w:eastAsia="方正仿宋_GBK"/>
          <w:sz w:val="32"/>
          <w:szCs w:val="32"/>
        </w:rPr>
        <w:t>继续加强绩效管理</w:t>
      </w:r>
      <w:r>
        <w:rPr>
          <w:rFonts w:ascii="Times New Roman" w:hAnsi="Times New Roman" w:eastAsia="方正仿宋_GBK"/>
          <w:sz w:val="32"/>
          <w:szCs w:val="32"/>
        </w:rPr>
        <w:t>工作</w:t>
      </w:r>
      <w:r>
        <w:rPr>
          <w:rFonts w:hint="eastAsia" w:ascii="Times New Roman" w:hAnsi="Times New Roman" w:eastAsia="方正仿宋_GBK"/>
          <w:sz w:val="32"/>
          <w:szCs w:val="32"/>
        </w:rPr>
        <w:t>培训和</w:t>
      </w:r>
      <w:r>
        <w:rPr>
          <w:rFonts w:ascii="Times New Roman" w:hAnsi="Times New Roman" w:eastAsia="方正仿宋_GBK"/>
          <w:sz w:val="32"/>
          <w:szCs w:val="32"/>
        </w:rPr>
        <w:t>交流</w:t>
      </w:r>
      <w:r>
        <w:rPr>
          <w:rFonts w:hint="eastAsia" w:ascii="Times New Roman" w:hAnsi="Times New Roman" w:eastAsia="方正仿宋_GBK"/>
          <w:sz w:val="32"/>
          <w:szCs w:val="32"/>
        </w:rPr>
        <w:t>。建议市局主管部门继续开展</w:t>
      </w:r>
      <w:r>
        <w:rPr>
          <w:rFonts w:ascii="Times New Roman" w:hAnsi="Times New Roman" w:eastAsia="方正仿宋_GBK"/>
          <w:sz w:val="32"/>
          <w:szCs w:val="32"/>
        </w:rPr>
        <w:t>加强绩效管理工作相关培训，</w:t>
      </w:r>
      <w:r>
        <w:rPr>
          <w:rFonts w:hint="eastAsia" w:ascii="Times New Roman" w:hAnsi="Times New Roman" w:eastAsia="方正仿宋_GBK"/>
          <w:sz w:val="32"/>
          <w:szCs w:val="32"/>
        </w:rPr>
        <w:t>介绍、推荐</w:t>
      </w:r>
      <w:r>
        <w:rPr>
          <w:rFonts w:ascii="Times New Roman" w:hAnsi="Times New Roman" w:eastAsia="方正仿宋_GBK"/>
          <w:sz w:val="32"/>
          <w:szCs w:val="32"/>
        </w:rPr>
        <w:t>其他单位先进的绩效管理工作经验，</w:t>
      </w:r>
      <w:r>
        <w:rPr>
          <w:rFonts w:hint="eastAsia" w:ascii="Times New Roman" w:hAnsi="Times New Roman" w:eastAsia="方正仿宋_GBK"/>
          <w:sz w:val="32"/>
          <w:szCs w:val="32"/>
        </w:rPr>
        <w:t>进一步</w:t>
      </w:r>
      <w:r>
        <w:rPr>
          <w:rFonts w:ascii="Times New Roman" w:hAnsi="Times New Roman" w:eastAsia="方正仿宋_GBK"/>
          <w:sz w:val="32"/>
          <w:szCs w:val="32"/>
        </w:rPr>
        <w:t>提高预算绩效管理工作人员的理论水平和业务素质。</w:t>
      </w:r>
    </w:p>
    <w:p w14:paraId="1D6A621E">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（三）</w:t>
      </w:r>
      <w:r>
        <w:rPr>
          <w:rFonts w:ascii="Times New Roman" w:hAnsi="Times New Roman" w:eastAsia="方正仿宋_GBK"/>
          <w:sz w:val="32"/>
          <w:szCs w:val="32"/>
        </w:rPr>
        <w:t>在制定部门年度绩效目标和部门计划时，结合宏观政策和中心各部门业务工作情况，科学引导部门年度工作安排，形成整体绩效工作的常态机制，更好的发挥引进、服务人才的作用。</w:t>
      </w:r>
    </w:p>
    <w:p w14:paraId="11977066">
      <w:pPr>
        <w:spacing w:line="52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六、评价工作开展情况及其他需说明的情况</w:t>
      </w:r>
    </w:p>
    <w:p w14:paraId="7AC9C46D">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对财政资金开展绩效评价是一项长期的工作，我们将持续提高绩效评价管理水平，提高财政资金使用效益。</w:t>
      </w:r>
    </w:p>
    <w:p w14:paraId="0AA5EBB7">
      <w:pPr>
        <w:spacing w:line="560" w:lineRule="exact"/>
        <w:ind w:firstLine="640" w:firstLineChars="200"/>
        <w:rPr>
          <w:rFonts w:ascii="Times New Roman" w:hAnsi="Times New Roman" w:eastAsia="方正仿宋_GBK"/>
          <w:sz w:val="32"/>
          <w:szCs w:val="32"/>
        </w:rPr>
      </w:pPr>
    </w:p>
    <w:p w14:paraId="5BA404AE">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附件：</w:t>
      </w:r>
      <w:r>
        <w:rPr>
          <w:rFonts w:ascii="Times New Roman" w:hAnsi="Times New Roman" w:eastAsia="方正仿宋_GBK"/>
          <w:bCs/>
          <w:color w:val="000000"/>
          <w:kern w:val="0"/>
          <w:sz w:val="32"/>
          <w:szCs w:val="32"/>
        </w:rPr>
        <w:t>2024年南京市人才服务中心整体绩效自评价评分表</w:t>
      </w:r>
    </w:p>
    <w:p w14:paraId="1C4520B0">
      <w:pPr>
        <w:spacing w:line="560" w:lineRule="exact"/>
        <w:ind w:firstLine="640" w:firstLineChars="200"/>
        <w:rPr>
          <w:rFonts w:ascii="Times New Roman" w:hAnsi="Times New Roman" w:eastAsia="方正仿宋_GBK"/>
          <w:sz w:val="32"/>
          <w:szCs w:val="32"/>
        </w:rPr>
      </w:pPr>
    </w:p>
    <w:p w14:paraId="7C4D5A54">
      <w:pPr>
        <w:spacing w:line="560" w:lineRule="exact"/>
        <w:ind w:firstLine="640" w:firstLineChars="200"/>
        <w:rPr>
          <w:rFonts w:ascii="Times New Roman" w:hAnsi="Times New Roman" w:eastAsia="方正仿宋_GBK"/>
          <w:sz w:val="32"/>
          <w:szCs w:val="32"/>
        </w:rPr>
      </w:pPr>
    </w:p>
    <w:p w14:paraId="5B6A7BB7">
      <w:pPr>
        <w:spacing w:line="560" w:lineRule="exact"/>
        <w:ind w:firstLine="5440" w:firstLineChars="1700"/>
        <w:rPr>
          <w:rFonts w:ascii="Times New Roman" w:hAnsi="Times New Roman" w:eastAsia="方正仿宋_GBK"/>
          <w:sz w:val="32"/>
          <w:szCs w:val="32"/>
        </w:rPr>
      </w:pPr>
    </w:p>
    <w:p w14:paraId="419B4496">
      <w:pPr>
        <w:rPr>
          <w:rFonts w:ascii="Times New Roman" w:hAnsi="Times New Roman" w:eastAsia="仿宋"/>
          <w:sz w:val="32"/>
          <w:szCs w:val="32"/>
        </w:rPr>
        <w:sectPr>
          <w:footerReference r:id="rId3" w:type="default"/>
          <w:pgSz w:w="11906" w:h="16838"/>
          <w:pgMar w:top="2098" w:right="1588" w:bottom="1701" w:left="1588" w:header="851" w:footer="992" w:gutter="0"/>
          <w:cols w:space="425" w:num="1"/>
          <w:docGrid w:type="lines" w:linePitch="312" w:charSpace="0"/>
        </w:sectPr>
      </w:pPr>
    </w:p>
    <w:tbl>
      <w:tblPr>
        <w:tblStyle w:val="5"/>
        <w:tblW w:w="15485" w:type="dxa"/>
        <w:tblInd w:w="-740" w:type="dxa"/>
        <w:tblLayout w:type="fixed"/>
        <w:tblCellMar>
          <w:top w:w="0" w:type="dxa"/>
          <w:left w:w="108" w:type="dxa"/>
          <w:bottom w:w="0" w:type="dxa"/>
          <w:right w:w="108" w:type="dxa"/>
        </w:tblCellMar>
      </w:tblPr>
      <w:tblGrid>
        <w:gridCol w:w="750"/>
        <w:gridCol w:w="859"/>
        <w:gridCol w:w="1595"/>
        <w:gridCol w:w="682"/>
        <w:gridCol w:w="737"/>
        <w:gridCol w:w="2237"/>
        <w:gridCol w:w="3504"/>
        <w:gridCol w:w="1261"/>
        <w:gridCol w:w="2975"/>
        <w:gridCol w:w="885"/>
      </w:tblGrid>
      <w:tr w14:paraId="65381695">
        <w:tblPrEx>
          <w:tblCellMar>
            <w:top w:w="0" w:type="dxa"/>
            <w:left w:w="108" w:type="dxa"/>
            <w:bottom w:w="0" w:type="dxa"/>
            <w:right w:w="108" w:type="dxa"/>
          </w:tblCellMar>
        </w:tblPrEx>
        <w:trPr>
          <w:trHeight w:val="1422" w:hRule="atLeast"/>
        </w:trPr>
        <w:tc>
          <w:tcPr>
            <w:tcW w:w="15485" w:type="dxa"/>
            <w:gridSpan w:val="10"/>
            <w:tcBorders>
              <w:top w:val="nil"/>
              <w:left w:val="nil"/>
              <w:bottom w:val="single" w:color="000000" w:sz="4" w:space="0"/>
              <w:right w:val="nil"/>
            </w:tcBorders>
            <w:shd w:val="clear" w:color="auto" w:fill="FFFFFF"/>
            <w:vAlign w:val="center"/>
          </w:tcPr>
          <w:p w14:paraId="35515468">
            <w:pPr>
              <w:widowControl/>
              <w:textAlignment w:val="center"/>
              <w:rPr>
                <w:rFonts w:ascii="方正黑体_GBK" w:hAnsi="Times New Roman" w:eastAsia="方正黑体_GBK"/>
                <w:bCs/>
                <w:color w:val="000000"/>
                <w:kern w:val="0"/>
                <w:sz w:val="32"/>
                <w:szCs w:val="32"/>
              </w:rPr>
            </w:pPr>
            <w:r>
              <w:rPr>
                <w:rFonts w:hint="eastAsia" w:ascii="方正黑体_GBK" w:hAnsi="Times New Roman" w:eastAsia="方正黑体_GBK"/>
                <w:bCs/>
                <w:color w:val="000000"/>
                <w:kern w:val="0"/>
                <w:sz w:val="32"/>
                <w:szCs w:val="32"/>
              </w:rPr>
              <w:t>附件</w:t>
            </w:r>
          </w:p>
          <w:p w14:paraId="20945810">
            <w:pPr>
              <w:widowControl/>
              <w:jc w:val="center"/>
              <w:textAlignment w:val="center"/>
              <w:rPr>
                <w:rFonts w:ascii="Times New Roman" w:hAnsi="Times New Roman" w:eastAsia="方正小标宋_GBK"/>
                <w:bCs/>
                <w:color w:val="000000"/>
                <w:sz w:val="36"/>
                <w:szCs w:val="36"/>
              </w:rPr>
            </w:pPr>
            <w:r>
              <w:rPr>
                <w:rFonts w:ascii="Times New Roman" w:hAnsi="Times New Roman" w:eastAsia="方正小标宋_GBK"/>
                <w:bCs/>
                <w:color w:val="000000"/>
                <w:kern w:val="0"/>
                <w:sz w:val="36"/>
                <w:szCs w:val="36"/>
              </w:rPr>
              <w:t>202</w:t>
            </w:r>
            <w:r>
              <w:rPr>
                <w:rFonts w:hint="eastAsia" w:ascii="Times New Roman" w:hAnsi="Times New Roman" w:eastAsia="方正小标宋_GBK"/>
                <w:bCs/>
                <w:color w:val="000000"/>
                <w:kern w:val="0"/>
                <w:sz w:val="36"/>
                <w:szCs w:val="36"/>
              </w:rPr>
              <w:t>4</w:t>
            </w:r>
            <w:r>
              <w:rPr>
                <w:rFonts w:ascii="Times New Roman" w:hAnsi="Times New Roman" w:eastAsia="方正小标宋_GBK"/>
                <w:bCs/>
                <w:color w:val="000000"/>
                <w:kern w:val="0"/>
                <w:sz w:val="36"/>
                <w:szCs w:val="36"/>
              </w:rPr>
              <w:t>年南京市人才服务中心整体绩效自评价评分表</w:t>
            </w:r>
          </w:p>
        </w:tc>
      </w:tr>
      <w:tr w14:paraId="01CC0FB0">
        <w:tblPrEx>
          <w:tblCellMar>
            <w:top w:w="0" w:type="dxa"/>
            <w:left w:w="108" w:type="dxa"/>
            <w:bottom w:w="0" w:type="dxa"/>
            <w:right w:w="108" w:type="dxa"/>
          </w:tblCellMar>
        </w:tblPrEx>
        <w:trPr>
          <w:trHeight w:val="89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4BBFE">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一级指标</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7DDF">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二级指标</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669A">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三级指标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A91B4">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权重</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7DBC4">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目标值</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82EE1">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指标说明</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041C4">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评分标准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AD9CA">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完成值</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5FE0">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评分过程</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126B4">
            <w:pPr>
              <w:widowControl/>
              <w:spacing w:line="280" w:lineRule="exact"/>
              <w:jc w:val="center"/>
              <w:textAlignment w:val="center"/>
              <w:rPr>
                <w:rFonts w:ascii="Times New Roman" w:hAnsi="Times New Roman" w:eastAsia="仿宋"/>
                <w:b/>
                <w:bCs/>
                <w:color w:val="000000"/>
                <w:szCs w:val="21"/>
              </w:rPr>
            </w:pPr>
            <w:r>
              <w:rPr>
                <w:rFonts w:ascii="Times New Roman" w:hAnsi="仿宋" w:eastAsia="仿宋"/>
                <w:b/>
                <w:bCs/>
                <w:color w:val="000000"/>
                <w:kern w:val="0"/>
                <w:szCs w:val="21"/>
              </w:rPr>
              <w:t>得分</w:t>
            </w:r>
          </w:p>
        </w:tc>
      </w:tr>
      <w:tr w14:paraId="1DAC4BDE">
        <w:tblPrEx>
          <w:tblCellMar>
            <w:top w:w="0" w:type="dxa"/>
            <w:left w:w="108" w:type="dxa"/>
            <w:bottom w:w="0" w:type="dxa"/>
            <w:right w:w="108" w:type="dxa"/>
          </w:tblCellMar>
        </w:tblPrEx>
        <w:trPr>
          <w:trHeight w:val="1440" w:hRule="atLeast"/>
        </w:trPr>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69406704">
            <w:pPr>
              <w:widowControl/>
              <w:spacing w:line="280" w:lineRule="exact"/>
              <w:jc w:val="center"/>
              <w:textAlignment w:val="center"/>
              <w:rPr>
                <w:rFonts w:ascii="Times New Roman" w:hAnsi="Times New Roman" w:eastAsia="仿宋"/>
                <w:b/>
                <w:bCs/>
                <w:color w:val="000000"/>
                <w:szCs w:val="21"/>
              </w:rPr>
            </w:pPr>
            <w:bookmarkStart w:id="0" w:name="OLE_LINK1" w:colFirst="9" w:colLast="9"/>
            <w:r>
              <w:rPr>
                <w:rFonts w:hint="eastAsia" w:ascii="Times New Roman" w:hAnsi="仿宋" w:eastAsia="仿宋"/>
                <w:b/>
                <w:bCs/>
                <w:color w:val="000000"/>
                <w:kern w:val="0"/>
                <w:szCs w:val="21"/>
              </w:rPr>
              <w:t>A</w:t>
            </w:r>
            <w:r>
              <w:rPr>
                <w:rFonts w:ascii="Times New Roman" w:hAnsi="仿宋" w:eastAsia="仿宋"/>
                <w:b/>
                <w:bCs/>
                <w:color w:val="000000"/>
                <w:kern w:val="0"/>
                <w:szCs w:val="21"/>
              </w:rPr>
              <w:t>部门决策</w:t>
            </w:r>
          </w:p>
        </w:tc>
        <w:tc>
          <w:tcPr>
            <w:tcW w:w="859" w:type="dxa"/>
            <w:tcBorders>
              <w:top w:val="single" w:color="000000" w:sz="4" w:space="0"/>
              <w:left w:val="single" w:color="000000" w:sz="4" w:space="0"/>
              <w:bottom w:val="nil"/>
              <w:right w:val="single" w:color="000000" w:sz="4" w:space="0"/>
            </w:tcBorders>
            <w:shd w:val="clear" w:color="auto" w:fill="auto"/>
            <w:vAlign w:val="center"/>
          </w:tcPr>
          <w:p w14:paraId="4B26B15A">
            <w:pPr>
              <w:widowControl/>
              <w:spacing w:line="280" w:lineRule="exact"/>
              <w:jc w:val="center"/>
              <w:textAlignment w:val="center"/>
              <w:rPr>
                <w:rFonts w:ascii="Times New Roman" w:hAnsi="Times New Roman" w:eastAsia="仿宋"/>
                <w:b/>
                <w:bCs/>
                <w:color w:val="000000"/>
                <w:szCs w:val="21"/>
              </w:rPr>
            </w:pPr>
            <w:r>
              <w:rPr>
                <w:rFonts w:hint="eastAsia" w:ascii="Times New Roman" w:hAnsi="仿宋" w:eastAsia="仿宋"/>
                <w:b/>
                <w:bCs/>
                <w:color w:val="000000"/>
                <w:kern w:val="0"/>
                <w:szCs w:val="21"/>
              </w:rPr>
              <w:t>A1</w:t>
            </w:r>
            <w:r>
              <w:rPr>
                <w:rFonts w:ascii="Times New Roman" w:hAnsi="仿宋" w:eastAsia="仿宋"/>
                <w:b/>
                <w:bCs/>
                <w:color w:val="000000"/>
                <w:kern w:val="0"/>
                <w:szCs w:val="21"/>
              </w:rPr>
              <w:t>决策机制</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082E">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A11</w:t>
            </w:r>
            <w:r>
              <w:rPr>
                <w:rFonts w:ascii="Times New Roman" w:hAnsi="仿宋" w:eastAsia="仿宋"/>
                <w:color w:val="000000"/>
                <w:kern w:val="0"/>
                <w:szCs w:val="21"/>
              </w:rPr>
              <w:t>决策制度的科学规范性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7A5CC">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A6798">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科学规范</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01F7B">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部门是否建立了关于重大经济活动、重大资金安排的决策制度，决策制度是否科学可行</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81965">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部门建立了关于重大经济活动、重大资金安排的决策制度，得</w:t>
            </w:r>
            <w:r>
              <w:rPr>
                <w:rFonts w:ascii="Times New Roman" w:hAnsi="Times New Roman" w:eastAsia="仿宋"/>
                <w:color w:val="000000"/>
                <w:kern w:val="0"/>
                <w:szCs w:val="21"/>
              </w:rPr>
              <w:t>1</w:t>
            </w:r>
            <w:r>
              <w:rPr>
                <w:rFonts w:ascii="Times New Roman" w:hAnsi="仿宋" w:eastAsia="仿宋"/>
                <w:color w:val="000000"/>
                <w:kern w:val="0"/>
                <w:szCs w:val="21"/>
              </w:rPr>
              <w:t>分</w:t>
            </w:r>
            <w:r>
              <w:rPr>
                <w:rFonts w:hint="eastAsia" w:ascii="Times New Roman" w:hAnsi="仿宋" w:eastAsia="仿宋"/>
                <w:color w:val="000000"/>
                <w:kern w:val="0"/>
                <w:szCs w:val="21"/>
              </w:rPr>
              <w:t>，未建立相关制度得0分</w:t>
            </w:r>
            <w:r>
              <w:rPr>
                <w:rFonts w:ascii="Times New Roman" w:hAnsi="仿宋" w:eastAsia="仿宋"/>
                <w:color w:val="000000"/>
                <w:kern w:val="0"/>
                <w:szCs w:val="21"/>
              </w:rPr>
              <w:t>；决策制度科学可行，得</w:t>
            </w:r>
            <w:r>
              <w:rPr>
                <w:rFonts w:ascii="Times New Roman" w:hAnsi="Times New Roman" w:eastAsia="仿宋"/>
                <w:color w:val="000000"/>
                <w:kern w:val="0"/>
                <w:szCs w:val="21"/>
              </w:rPr>
              <w:t>1</w:t>
            </w:r>
            <w:r>
              <w:rPr>
                <w:rFonts w:ascii="Times New Roman" w:hAnsi="仿宋" w:eastAsia="仿宋"/>
                <w:color w:val="000000"/>
                <w:kern w:val="0"/>
                <w:szCs w:val="21"/>
              </w:rPr>
              <w:t>分</w:t>
            </w:r>
            <w:r>
              <w:rPr>
                <w:rFonts w:hint="eastAsia" w:ascii="Times New Roman" w:hAnsi="仿宋" w:eastAsia="仿宋"/>
                <w:color w:val="000000"/>
                <w:kern w:val="0"/>
                <w:szCs w:val="21"/>
              </w:rPr>
              <w:t>，缺乏科学性得0分</w:t>
            </w:r>
            <w:r>
              <w:rPr>
                <w:rFonts w:ascii="Times New Roman" w:hAnsi="仿宋" w:eastAsia="仿宋"/>
                <w:color w:val="000000"/>
                <w:kern w:val="0"/>
                <w:szCs w:val="21"/>
              </w:rPr>
              <w:t>。</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9DF7C">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科学规范</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B1D05">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中心制定了《应提交中心主任办公会研究决定的</w:t>
            </w:r>
            <w:r>
              <w:rPr>
                <w:rFonts w:ascii="Times New Roman" w:hAnsi="Times New Roman" w:eastAsia="仿宋"/>
                <w:color w:val="000000"/>
                <w:kern w:val="0"/>
                <w:szCs w:val="21"/>
              </w:rPr>
              <w:t>“</w:t>
            </w:r>
            <w:r>
              <w:rPr>
                <w:rFonts w:ascii="Times New Roman" w:hAnsi="仿宋" w:eastAsia="仿宋"/>
                <w:color w:val="000000"/>
                <w:kern w:val="0"/>
                <w:szCs w:val="21"/>
              </w:rPr>
              <w:t>三重一大</w:t>
            </w:r>
            <w:r>
              <w:rPr>
                <w:rFonts w:ascii="Times New Roman" w:hAnsi="Times New Roman" w:eastAsia="仿宋"/>
                <w:color w:val="000000"/>
                <w:kern w:val="0"/>
                <w:szCs w:val="21"/>
              </w:rPr>
              <w:t>”</w:t>
            </w:r>
            <w:r>
              <w:rPr>
                <w:rFonts w:ascii="Times New Roman" w:hAnsi="仿宋" w:eastAsia="仿宋"/>
                <w:color w:val="000000"/>
                <w:kern w:val="0"/>
                <w:szCs w:val="21"/>
              </w:rPr>
              <w:t>具体事项有关规定》等相关制度，重大经济活动、重大资金安排的决策遵循规则制度，决策制度科学可行，决策流程科学合理。根据评分标准，得</w:t>
            </w:r>
            <w:r>
              <w:rPr>
                <w:rFonts w:ascii="Times New Roman" w:hAnsi="Times New Roman" w:eastAsia="仿宋"/>
                <w:color w:val="000000"/>
                <w:kern w:val="0"/>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E8FDF">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6680FECA">
        <w:tblPrEx>
          <w:tblCellMar>
            <w:top w:w="0" w:type="dxa"/>
            <w:left w:w="108" w:type="dxa"/>
            <w:bottom w:w="0" w:type="dxa"/>
            <w:right w:w="108" w:type="dxa"/>
          </w:tblCellMar>
        </w:tblPrEx>
        <w:trPr>
          <w:trHeight w:val="1600" w:hRule="atLeast"/>
        </w:trPr>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6C01712">
            <w:pPr>
              <w:spacing w:line="280" w:lineRule="exact"/>
              <w:jc w:val="center"/>
              <w:rPr>
                <w:rFonts w:ascii="Times New Roman" w:hAnsi="Times New Roman" w:eastAsia="仿宋"/>
                <w:b/>
                <w:bCs/>
                <w:color w:val="000000"/>
                <w:szCs w:val="21"/>
              </w:rPr>
            </w:pP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3A2A63">
            <w:pPr>
              <w:widowControl/>
              <w:spacing w:line="280" w:lineRule="exact"/>
              <w:jc w:val="center"/>
              <w:textAlignment w:val="center"/>
              <w:rPr>
                <w:rFonts w:ascii="Times New Roman" w:hAnsi="Times New Roman" w:eastAsia="仿宋"/>
                <w:b/>
                <w:bCs/>
                <w:color w:val="000000"/>
                <w:szCs w:val="21"/>
              </w:rPr>
            </w:pPr>
            <w:r>
              <w:rPr>
                <w:rFonts w:hint="eastAsia" w:ascii="Times New Roman" w:hAnsi="仿宋" w:eastAsia="仿宋"/>
                <w:b/>
                <w:bCs/>
                <w:color w:val="000000"/>
                <w:kern w:val="0"/>
                <w:szCs w:val="21"/>
              </w:rPr>
              <w:t>A2</w:t>
            </w:r>
            <w:r>
              <w:rPr>
                <w:rFonts w:ascii="Times New Roman" w:hAnsi="仿宋" w:eastAsia="仿宋"/>
                <w:b/>
                <w:bCs/>
                <w:color w:val="000000"/>
                <w:kern w:val="0"/>
                <w:szCs w:val="21"/>
              </w:rPr>
              <w:t>中长期规划</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513C4">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A21</w:t>
            </w:r>
            <w:r>
              <w:rPr>
                <w:rFonts w:ascii="Times New Roman" w:hAnsi="仿宋" w:eastAsia="仿宋"/>
                <w:color w:val="000000"/>
                <w:kern w:val="0"/>
                <w:szCs w:val="21"/>
              </w:rPr>
              <w:t>中长期规划明确性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F523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4141F">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明确</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A1CD">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部门是否制定了中长期发展目标，中长期发展目标指向是否明确，是否符合部门未来工作的重点开展方向</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985F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部门是制定了中长期发展目标，得</w:t>
            </w:r>
            <w:r>
              <w:rPr>
                <w:rFonts w:hint="eastAsia" w:ascii="Times New Roman" w:hAnsi="Times New Roman" w:eastAsia="仿宋"/>
                <w:color w:val="000000"/>
                <w:kern w:val="0"/>
                <w:szCs w:val="21"/>
              </w:rPr>
              <w:t>0.5</w:t>
            </w:r>
            <w:r>
              <w:rPr>
                <w:rFonts w:ascii="Times New Roman" w:hAnsi="仿宋" w:eastAsia="仿宋"/>
                <w:color w:val="000000"/>
                <w:kern w:val="0"/>
                <w:szCs w:val="21"/>
              </w:rPr>
              <w:t>分</w:t>
            </w:r>
            <w:r>
              <w:rPr>
                <w:rFonts w:hint="eastAsia" w:ascii="Times New Roman" w:hAnsi="仿宋" w:eastAsia="仿宋"/>
                <w:color w:val="000000"/>
                <w:kern w:val="0"/>
                <w:szCs w:val="21"/>
              </w:rPr>
              <w:t>，未制定得0分</w:t>
            </w:r>
            <w:r>
              <w:rPr>
                <w:rFonts w:ascii="Times New Roman" w:hAnsi="仿宋" w:eastAsia="仿宋"/>
                <w:color w:val="000000"/>
                <w:kern w:val="0"/>
                <w:szCs w:val="21"/>
              </w:rPr>
              <w:t>；中长期发展目标指向明确且符合部门未来工作的重点开展方向，得</w:t>
            </w:r>
            <w:r>
              <w:rPr>
                <w:rFonts w:ascii="Times New Roman" w:hAnsi="Times New Roman" w:eastAsia="仿宋"/>
                <w:color w:val="000000"/>
                <w:kern w:val="0"/>
                <w:szCs w:val="21"/>
              </w:rPr>
              <w:t>0.5</w:t>
            </w:r>
            <w:r>
              <w:rPr>
                <w:rFonts w:ascii="Times New Roman" w:hAnsi="仿宋" w:eastAsia="仿宋"/>
                <w:color w:val="000000"/>
                <w:kern w:val="0"/>
                <w:szCs w:val="21"/>
              </w:rPr>
              <w:t>分</w:t>
            </w:r>
            <w:r>
              <w:rPr>
                <w:rFonts w:hint="eastAsia" w:ascii="Times New Roman" w:hAnsi="仿宋" w:eastAsia="仿宋"/>
                <w:color w:val="000000"/>
                <w:kern w:val="0"/>
                <w:szCs w:val="21"/>
              </w:rPr>
              <w:t>，未达要求得0分</w:t>
            </w:r>
            <w:r>
              <w:rPr>
                <w:rFonts w:ascii="Times New Roman" w:hAnsi="仿宋" w:eastAsia="仿宋"/>
                <w:color w:val="000000"/>
                <w:kern w:val="0"/>
                <w:szCs w:val="21"/>
              </w:rPr>
              <w:t>。</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7699">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明确</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76FCA">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制定了中心的中长期规划，并纳入我市人力资源和社会保障</w:t>
            </w:r>
            <w:r>
              <w:rPr>
                <w:rFonts w:ascii="Times New Roman" w:hAnsi="Times New Roman" w:eastAsia="仿宋"/>
                <w:color w:val="000000"/>
                <w:kern w:val="0"/>
                <w:szCs w:val="21"/>
              </w:rPr>
              <w:t>“</w:t>
            </w:r>
            <w:r>
              <w:rPr>
                <w:rFonts w:ascii="Times New Roman" w:hAnsi="仿宋" w:eastAsia="仿宋"/>
                <w:color w:val="000000"/>
                <w:kern w:val="0"/>
                <w:szCs w:val="21"/>
              </w:rPr>
              <w:t>十四五</w:t>
            </w:r>
            <w:r>
              <w:rPr>
                <w:rFonts w:ascii="Times New Roman" w:hAnsi="Times New Roman" w:eastAsia="仿宋"/>
                <w:color w:val="000000"/>
                <w:kern w:val="0"/>
                <w:szCs w:val="21"/>
              </w:rPr>
              <w:t>”</w:t>
            </w:r>
            <w:r>
              <w:rPr>
                <w:rFonts w:ascii="Times New Roman" w:hAnsi="仿宋" w:eastAsia="仿宋"/>
                <w:color w:val="000000"/>
                <w:kern w:val="0"/>
                <w:szCs w:val="21"/>
              </w:rPr>
              <w:t>规划</w:t>
            </w:r>
            <w:r>
              <w:rPr>
                <w:rFonts w:hint="eastAsia" w:ascii="Times New Roman" w:hAnsi="仿宋" w:eastAsia="仿宋"/>
                <w:color w:val="000000"/>
                <w:kern w:val="0"/>
                <w:szCs w:val="21"/>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64C23">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1</w:t>
            </w:r>
          </w:p>
        </w:tc>
      </w:tr>
      <w:tr w14:paraId="7F3884C0">
        <w:tblPrEx>
          <w:tblCellMar>
            <w:top w:w="0" w:type="dxa"/>
            <w:left w:w="108" w:type="dxa"/>
            <w:bottom w:w="0" w:type="dxa"/>
            <w:right w:w="108" w:type="dxa"/>
          </w:tblCellMar>
        </w:tblPrEx>
        <w:trPr>
          <w:trHeight w:val="1220" w:hRule="atLeast"/>
        </w:trPr>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D2EEE52">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49ADD">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5E71D">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A22</w:t>
            </w:r>
            <w:r>
              <w:rPr>
                <w:rFonts w:ascii="Times New Roman" w:hAnsi="仿宋" w:eastAsia="仿宋"/>
                <w:color w:val="000000"/>
                <w:kern w:val="0"/>
                <w:szCs w:val="21"/>
              </w:rPr>
              <w:t>中长期规划与部门职能的匹配性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26CDD">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25997">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匹配</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B7234">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中长期目标是否与部门职能相匹配</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2DD26">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中长期目标与部门职能相匹配，得</w:t>
            </w:r>
            <w:r>
              <w:rPr>
                <w:rFonts w:hint="eastAsia" w:ascii="Times New Roman" w:hAnsi="Times New Roman" w:eastAsia="仿宋"/>
                <w:color w:val="000000"/>
                <w:kern w:val="0"/>
                <w:szCs w:val="21"/>
              </w:rPr>
              <w:t>1</w:t>
            </w:r>
            <w:r>
              <w:rPr>
                <w:rFonts w:ascii="Times New Roman" w:hAnsi="仿宋" w:eastAsia="仿宋"/>
                <w:color w:val="000000"/>
                <w:kern w:val="0"/>
                <w:szCs w:val="21"/>
              </w:rPr>
              <w:t>分</w:t>
            </w:r>
            <w:r>
              <w:rPr>
                <w:rFonts w:hint="eastAsia" w:ascii="Times New Roman" w:hAnsi="仿宋" w:eastAsia="仿宋"/>
                <w:color w:val="000000"/>
                <w:kern w:val="0"/>
                <w:szCs w:val="21"/>
              </w:rPr>
              <w:t>，不能完全匹配得0.5分</w:t>
            </w:r>
            <w:r>
              <w:rPr>
                <w:rFonts w:ascii="Times New Roman" w:hAnsi="仿宋" w:eastAsia="仿宋"/>
                <w:color w:val="000000"/>
                <w:kern w:val="0"/>
                <w:szCs w:val="21"/>
              </w:rPr>
              <w:t>。</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AB002">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匹配</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D51DE">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中长期目标与部门职能相匹配</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23E49">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1</w:t>
            </w:r>
          </w:p>
        </w:tc>
      </w:tr>
      <w:tr w14:paraId="4565B89A">
        <w:tblPrEx>
          <w:tblCellMar>
            <w:top w:w="0" w:type="dxa"/>
            <w:left w:w="108" w:type="dxa"/>
            <w:bottom w:w="0" w:type="dxa"/>
            <w:right w:w="108" w:type="dxa"/>
          </w:tblCellMar>
        </w:tblPrEx>
        <w:trPr>
          <w:trHeight w:val="1940" w:hRule="atLeast"/>
        </w:trPr>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5DAE571">
            <w:pPr>
              <w:spacing w:line="280" w:lineRule="exact"/>
              <w:jc w:val="center"/>
              <w:rPr>
                <w:rFonts w:ascii="Times New Roman" w:hAnsi="Times New Roman" w:eastAsia="仿宋"/>
                <w:b/>
                <w:bCs/>
                <w:color w:val="000000"/>
                <w:szCs w:val="21"/>
              </w:rPr>
            </w:pPr>
          </w:p>
        </w:tc>
        <w:tc>
          <w:tcPr>
            <w:tcW w:w="859" w:type="dxa"/>
            <w:vMerge w:val="restart"/>
            <w:tcBorders>
              <w:top w:val="nil"/>
              <w:left w:val="single" w:color="000000" w:sz="4" w:space="0"/>
              <w:bottom w:val="nil"/>
              <w:right w:val="single" w:color="000000" w:sz="4" w:space="0"/>
            </w:tcBorders>
            <w:shd w:val="clear" w:color="auto" w:fill="auto"/>
            <w:vAlign w:val="center"/>
          </w:tcPr>
          <w:p w14:paraId="201754DD">
            <w:pPr>
              <w:widowControl/>
              <w:spacing w:line="280" w:lineRule="exact"/>
              <w:jc w:val="center"/>
              <w:textAlignment w:val="center"/>
              <w:rPr>
                <w:rFonts w:ascii="Times New Roman" w:hAnsi="Times New Roman" w:eastAsia="仿宋"/>
                <w:b/>
                <w:bCs/>
                <w:color w:val="000000"/>
                <w:szCs w:val="21"/>
              </w:rPr>
            </w:pPr>
            <w:r>
              <w:rPr>
                <w:rFonts w:hint="eastAsia" w:ascii="Times New Roman" w:hAnsi="仿宋" w:eastAsia="仿宋"/>
                <w:b/>
                <w:bCs/>
                <w:color w:val="000000"/>
                <w:kern w:val="0"/>
                <w:szCs w:val="21"/>
              </w:rPr>
              <w:t>A3</w:t>
            </w:r>
            <w:r>
              <w:rPr>
                <w:rFonts w:ascii="Times New Roman" w:hAnsi="仿宋" w:eastAsia="仿宋"/>
                <w:b/>
                <w:bCs/>
                <w:color w:val="000000"/>
                <w:kern w:val="0"/>
                <w:szCs w:val="21"/>
              </w:rPr>
              <w:t>年度工作计划</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E762B">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A31</w:t>
            </w:r>
            <w:r>
              <w:rPr>
                <w:rFonts w:ascii="Times New Roman" w:hAnsi="仿宋" w:eastAsia="仿宋"/>
                <w:color w:val="000000"/>
                <w:kern w:val="0"/>
                <w:szCs w:val="21"/>
              </w:rPr>
              <w:t>年度工作目标明确性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E8FF4">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C1CB4">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明确</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6C70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年度工作目标是否明确，是否符合中长期目标</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0BB8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年度工作目标明确，得</w:t>
            </w:r>
            <w:r>
              <w:rPr>
                <w:rFonts w:ascii="Times New Roman" w:hAnsi="Times New Roman" w:eastAsia="仿宋"/>
                <w:color w:val="000000"/>
                <w:kern w:val="0"/>
                <w:szCs w:val="21"/>
              </w:rPr>
              <w:t>1</w:t>
            </w:r>
            <w:r>
              <w:rPr>
                <w:rFonts w:ascii="Times New Roman" w:hAnsi="仿宋" w:eastAsia="仿宋"/>
                <w:color w:val="000000"/>
                <w:kern w:val="0"/>
                <w:szCs w:val="21"/>
              </w:rPr>
              <w:t>分</w:t>
            </w:r>
            <w:r>
              <w:rPr>
                <w:rFonts w:hint="eastAsia" w:ascii="Times New Roman" w:hAnsi="仿宋" w:eastAsia="仿宋"/>
                <w:color w:val="000000"/>
                <w:kern w:val="0"/>
                <w:szCs w:val="21"/>
              </w:rPr>
              <w:t>，未制定年度目标或目标不明确，得0分</w:t>
            </w:r>
            <w:r>
              <w:rPr>
                <w:rFonts w:ascii="Times New Roman" w:hAnsi="仿宋" w:eastAsia="仿宋"/>
                <w:color w:val="000000"/>
                <w:kern w:val="0"/>
                <w:szCs w:val="21"/>
              </w:rPr>
              <w:t>；符合中长期目标，得</w:t>
            </w:r>
            <w:r>
              <w:rPr>
                <w:rFonts w:ascii="Times New Roman" w:hAnsi="Times New Roman" w:eastAsia="仿宋"/>
                <w:color w:val="000000"/>
                <w:kern w:val="0"/>
                <w:szCs w:val="21"/>
              </w:rPr>
              <w:t>1</w:t>
            </w:r>
            <w:r>
              <w:rPr>
                <w:rFonts w:ascii="Times New Roman" w:hAnsi="仿宋" w:eastAsia="仿宋"/>
                <w:color w:val="000000"/>
                <w:kern w:val="0"/>
                <w:szCs w:val="21"/>
              </w:rPr>
              <w:t>分</w:t>
            </w:r>
            <w:r>
              <w:rPr>
                <w:rFonts w:hint="eastAsia" w:ascii="Times New Roman" w:hAnsi="仿宋" w:eastAsia="仿宋"/>
                <w:color w:val="000000"/>
                <w:kern w:val="0"/>
                <w:szCs w:val="21"/>
              </w:rPr>
              <w:t>，不符合中长期目标，得0分</w:t>
            </w:r>
            <w:r>
              <w:rPr>
                <w:rFonts w:ascii="Times New Roman" w:hAnsi="仿宋" w:eastAsia="仿宋"/>
                <w:color w:val="000000"/>
                <w:kern w:val="0"/>
                <w:szCs w:val="21"/>
              </w:rPr>
              <w:t>。</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C9F95">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明确</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3F946">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根据《南京市人才服务中心</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年度部门预算公开》、《中心</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年全年总结和</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5</w:t>
            </w:r>
            <w:r>
              <w:rPr>
                <w:rFonts w:ascii="Times New Roman" w:hAnsi="仿宋" w:eastAsia="仿宋"/>
                <w:color w:val="000000"/>
                <w:kern w:val="0"/>
                <w:szCs w:val="21"/>
              </w:rPr>
              <w:t>年计划》，年度工作目标明确性较高，且符合部门中长期目标。根据评分标准，本指标得</w:t>
            </w:r>
            <w:r>
              <w:rPr>
                <w:rFonts w:ascii="Times New Roman" w:hAnsi="Times New Roman" w:eastAsia="仿宋"/>
                <w:color w:val="000000"/>
                <w:kern w:val="0"/>
                <w:szCs w:val="21"/>
              </w:rPr>
              <w:t xml:space="preserve"> 2 </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7BDB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018D6FE5">
        <w:tblPrEx>
          <w:tblCellMar>
            <w:top w:w="0" w:type="dxa"/>
            <w:left w:w="108" w:type="dxa"/>
            <w:bottom w:w="0" w:type="dxa"/>
            <w:right w:w="108" w:type="dxa"/>
          </w:tblCellMar>
        </w:tblPrEx>
        <w:trPr>
          <w:trHeight w:val="1340" w:hRule="atLeast"/>
        </w:trPr>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96787DF">
            <w:pPr>
              <w:spacing w:line="280" w:lineRule="exact"/>
              <w:jc w:val="center"/>
              <w:rPr>
                <w:rFonts w:ascii="Times New Roman" w:hAnsi="Times New Roman" w:eastAsia="仿宋"/>
                <w:b/>
                <w:bCs/>
                <w:color w:val="000000"/>
                <w:szCs w:val="21"/>
              </w:rPr>
            </w:pPr>
          </w:p>
        </w:tc>
        <w:tc>
          <w:tcPr>
            <w:tcW w:w="859" w:type="dxa"/>
            <w:vMerge w:val="continue"/>
            <w:tcBorders>
              <w:top w:val="nil"/>
              <w:left w:val="single" w:color="000000" w:sz="4" w:space="0"/>
              <w:bottom w:val="nil"/>
              <w:right w:val="single" w:color="000000" w:sz="4" w:space="0"/>
            </w:tcBorders>
            <w:shd w:val="clear" w:color="auto" w:fill="auto"/>
            <w:vAlign w:val="center"/>
          </w:tcPr>
          <w:p w14:paraId="2C7D4D11">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C3906">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A32</w:t>
            </w:r>
            <w:r>
              <w:rPr>
                <w:rFonts w:ascii="Times New Roman" w:hAnsi="仿宋" w:eastAsia="仿宋"/>
                <w:color w:val="000000"/>
                <w:kern w:val="0"/>
                <w:szCs w:val="21"/>
              </w:rPr>
              <w:t>年度工作目标科学合理性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34A1F">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532A5">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科学合理</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8E3F9">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年度工作目标是否科学合理，是否可实现</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6AF05">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年度工作目标科学合理，得</w:t>
            </w:r>
            <w:r>
              <w:rPr>
                <w:rFonts w:ascii="Times New Roman" w:hAnsi="Times New Roman" w:eastAsia="仿宋"/>
                <w:color w:val="000000"/>
                <w:kern w:val="0"/>
                <w:szCs w:val="21"/>
              </w:rPr>
              <w:t>1</w:t>
            </w:r>
            <w:r>
              <w:rPr>
                <w:rFonts w:ascii="Times New Roman" w:hAnsi="仿宋" w:eastAsia="仿宋"/>
                <w:color w:val="000000"/>
                <w:kern w:val="0"/>
                <w:szCs w:val="21"/>
              </w:rPr>
              <w:t>分</w:t>
            </w:r>
            <w:r>
              <w:rPr>
                <w:rFonts w:hint="eastAsia" w:ascii="Times New Roman" w:hAnsi="仿宋" w:eastAsia="仿宋"/>
                <w:color w:val="000000"/>
                <w:kern w:val="0"/>
                <w:szCs w:val="21"/>
              </w:rPr>
              <w:t>，缺乏科学，得0分</w:t>
            </w:r>
            <w:r>
              <w:rPr>
                <w:rFonts w:ascii="Times New Roman" w:hAnsi="仿宋" w:eastAsia="仿宋"/>
                <w:color w:val="000000"/>
                <w:kern w:val="0"/>
                <w:szCs w:val="21"/>
              </w:rPr>
              <w:t>；年度工作目标可实现，得</w:t>
            </w:r>
            <w:r>
              <w:rPr>
                <w:rFonts w:ascii="Times New Roman" w:hAnsi="Times New Roman" w:eastAsia="仿宋"/>
                <w:color w:val="000000"/>
                <w:kern w:val="0"/>
                <w:szCs w:val="21"/>
              </w:rPr>
              <w:t>1</w:t>
            </w:r>
            <w:r>
              <w:rPr>
                <w:rFonts w:ascii="Times New Roman" w:hAnsi="仿宋" w:eastAsia="仿宋"/>
                <w:color w:val="000000"/>
                <w:kern w:val="0"/>
                <w:szCs w:val="21"/>
              </w:rPr>
              <w:t>分</w:t>
            </w:r>
            <w:r>
              <w:rPr>
                <w:rFonts w:hint="eastAsia" w:ascii="Times New Roman" w:hAnsi="仿宋" w:eastAsia="仿宋"/>
                <w:color w:val="000000"/>
                <w:kern w:val="0"/>
                <w:szCs w:val="21"/>
              </w:rPr>
              <w:t>，不可行得0分。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EE1A4">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科学合理</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5603F">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《南京市人才服务中心</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年度部门预算公开》、《中心</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年全年总结和</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5</w:t>
            </w:r>
            <w:r>
              <w:rPr>
                <w:rFonts w:ascii="Times New Roman" w:hAnsi="仿宋" w:eastAsia="仿宋"/>
                <w:color w:val="000000"/>
                <w:kern w:val="0"/>
                <w:szCs w:val="21"/>
              </w:rPr>
              <w:t>年计划》内容体现本中心年度工作目标科学合理，得</w:t>
            </w:r>
            <w:r>
              <w:rPr>
                <w:rFonts w:ascii="Times New Roman" w:hAnsi="Times New Roman" w:eastAsia="仿宋"/>
                <w:color w:val="000000"/>
                <w:kern w:val="0"/>
                <w:szCs w:val="21"/>
              </w:rPr>
              <w:t>1</w:t>
            </w:r>
            <w:r>
              <w:rPr>
                <w:rFonts w:ascii="Times New Roman" w:hAnsi="仿宋" w:eastAsia="仿宋"/>
                <w:color w:val="000000"/>
                <w:kern w:val="0"/>
                <w:szCs w:val="21"/>
              </w:rPr>
              <w:t>分；年度工作目标符合实际，可实现，得</w:t>
            </w:r>
            <w:r>
              <w:rPr>
                <w:rFonts w:ascii="Times New Roman" w:hAnsi="Times New Roman" w:eastAsia="仿宋"/>
                <w:color w:val="000000"/>
                <w:kern w:val="0"/>
                <w:szCs w:val="21"/>
              </w:rPr>
              <w:t>1</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D541A">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10596F07">
        <w:tblPrEx>
          <w:tblCellMar>
            <w:top w:w="0" w:type="dxa"/>
            <w:left w:w="108" w:type="dxa"/>
            <w:bottom w:w="0" w:type="dxa"/>
            <w:right w:w="108" w:type="dxa"/>
          </w:tblCellMar>
        </w:tblPrEx>
        <w:trPr>
          <w:trHeight w:val="743" w:hRule="atLeast"/>
        </w:trPr>
        <w:tc>
          <w:tcPr>
            <w:tcW w:w="750" w:type="dxa"/>
            <w:vMerge w:val="restart"/>
            <w:tcBorders>
              <w:top w:val="single" w:color="000000" w:sz="4" w:space="0"/>
              <w:left w:val="single" w:color="000000" w:sz="4" w:space="0"/>
              <w:bottom w:val="nil"/>
              <w:right w:val="single" w:color="000000" w:sz="4" w:space="0"/>
            </w:tcBorders>
            <w:shd w:val="clear" w:color="auto" w:fill="FFFFFF"/>
            <w:vAlign w:val="center"/>
          </w:tcPr>
          <w:p w14:paraId="48592255">
            <w:pPr>
              <w:widowControl/>
              <w:spacing w:line="280" w:lineRule="exact"/>
              <w:jc w:val="center"/>
              <w:textAlignment w:val="center"/>
              <w:rPr>
                <w:rFonts w:ascii="Times New Roman" w:hAnsi="Times New Roman" w:eastAsia="仿宋"/>
                <w:b/>
                <w:bCs/>
                <w:color w:val="000000"/>
                <w:szCs w:val="21"/>
              </w:rPr>
            </w:pPr>
            <w:r>
              <w:rPr>
                <w:rFonts w:hint="eastAsia" w:ascii="Times New Roman" w:hAnsi="Times New Roman" w:eastAsia="仿宋"/>
                <w:b/>
                <w:bCs/>
                <w:color w:val="000000"/>
                <w:kern w:val="0"/>
                <w:szCs w:val="21"/>
              </w:rPr>
              <w:t>B</w:t>
            </w:r>
            <w:r>
              <w:rPr>
                <w:rFonts w:ascii="Times New Roman" w:hAnsi="仿宋" w:eastAsia="仿宋"/>
                <w:b/>
                <w:bCs/>
                <w:color w:val="000000"/>
                <w:kern w:val="0"/>
                <w:szCs w:val="21"/>
              </w:rPr>
              <w:t>基本运行绩效</w:t>
            </w:r>
          </w:p>
        </w:tc>
        <w:tc>
          <w:tcPr>
            <w:tcW w:w="859" w:type="dxa"/>
            <w:vMerge w:val="restart"/>
            <w:tcBorders>
              <w:top w:val="single" w:color="000000" w:sz="4" w:space="0"/>
              <w:left w:val="single" w:color="000000" w:sz="4" w:space="0"/>
              <w:bottom w:val="nil"/>
              <w:right w:val="single" w:color="000000" w:sz="4" w:space="0"/>
            </w:tcBorders>
            <w:shd w:val="clear" w:color="auto" w:fill="FFFFFF"/>
            <w:vAlign w:val="center"/>
          </w:tcPr>
          <w:p w14:paraId="2039771C">
            <w:pPr>
              <w:widowControl/>
              <w:spacing w:line="280" w:lineRule="exact"/>
              <w:jc w:val="center"/>
              <w:textAlignment w:val="center"/>
              <w:rPr>
                <w:rFonts w:ascii="Times New Roman" w:hAnsi="Times New Roman" w:eastAsia="仿宋"/>
                <w:b/>
                <w:bCs/>
                <w:color w:val="000000"/>
                <w:szCs w:val="21"/>
              </w:rPr>
            </w:pPr>
            <w:r>
              <w:rPr>
                <w:rFonts w:hint="eastAsia" w:ascii="Times New Roman" w:hAnsi="Times New Roman" w:eastAsia="仿宋"/>
                <w:b/>
                <w:bCs/>
                <w:color w:val="000000"/>
                <w:kern w:val="0"/>
                <w:szCs w:val="21"/>
              </w:rPr>
              <w:t>B1</w:t>
            </w:r>
            <w:r>
              <w:rPr>
                <w:rFonts w:ascii="Times New Roman" w:hAnsi="仿宋" w:eastAsia="仿宋"/>
                <w:b/>
                <w:bCs/>
                <w:color w:val="000000"/>
                <w:kern w:val="0"/>
                <w:szCs w:val="21"/>
              </w:rPr>
              <w:t>预算管理</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5F4C">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B11</w:t>
            </w:r>
            <w:r>
              <w:rPr>
                <w:rFonts w:ascii="Times New Roman" w:hAnsi="仿宋" w:eastAsia="仿宋"/>
                <w:color w:val="000000"/>
                <w:kern w:val="0"/>
                <w:szCs w:val="21"/>
              </w:rPr>
              <w:t>预算资金到位率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2ED5F">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5766D">
            <w:pPr>
              <w:widowControl/>
              <w:spacing w:line="280" w:lineRule="exact"/>
              <w:jc w:val="left"/>
              <w:textAlignment w:val="center"/>
              <w:rPr>
                <w:rFonts w:ascii="Times New Roman" w:hAnsi="Times New Roman" w:eastAsia="等线"/>
                <w:color w:val="000000"/>
                <w:szCs w:val="21"/>
              </w:rPr>
            </w:pPr>
            <w:r>
              <w:rPr>
                <w:rFonts w:ascii="Times New Roman" w:hAnsi="Times New Roman" w:eastAsia="等线"/>
                <w:color w:val="000000"/>
                <w:kern w:val="0"/>
                <w:szCs w:val="21"/>
              </w:rPr>
              <w:t>100%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D46EF">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考查</w:t>
            </w:r>
            <w:r>
              <w:rPr>
                <w:rFonts w:ascii="Times New Roman" w:hAnsi="仿宋" w:eastAsia="仿宋"/>
                <w:color w:val="000000"/>
                <w:kern w:val="0"/>
                <w:szCs w:val="21"/>
              </w:rPr>
              <w:t>预算资金及时足额到位。预算资金到位率</w:t>
            </w:r>
            <w:r>
              <w:rPr>
                <w:rStyle w:val="7"/>
                <w:rFonts w:eastAsia="仿宋"/>
                <w:sz w:val="21"/>
                <w:szCs w:val="21"/>
              </w:rPr>
              <w:t>=</w:t>
            </w:r>
            <w:r>
              <w:rPr>
                <w:rFonts w:ascii="Times New Roman" w:hAnsi="仿宋" w:eastAsia="仿宋"/>
                <w:color w:val="000000"/>
                <w:kern w:val="0"/>
                <w:szCs w:val="21"/>
              </w:rPr>
              <w:t>市财政实际拨付到位资金额</w:t>
            </w:r>
            <w:r>
              <w:rPr>
                <w:rStyle w:val="7"/>
                <w:rFonts w:eastAsia="仿宋"/>
                <w:sz w:val="21"/>
                <w:szCs w:val="21"/>
              </w:rPr>
              <w:t>/</w:t>
            </w:r>
            <w:r>
              <w:rPr>
                <w:rFonts w:ascii="Times New Roman" w:hAnsi="仿宋" w:eastAsia="仿宋"/>
                <w:color w:val="000000"/>
                <w:kern w:val="0"/>
                <w:szCs w:val="21"/>
              </w:rPr>
              <w:t>市财政预算资金额</w:t>
            </w:r>
            <w:r>
              <w:rPr>
                <w:rStyle w:val="7"/>
                <w:rFonts w:eastAsia="仿宋"/>
                <w:sz w:val="21"/>
                <w:szCs w:val="21"/>
              </w:rPr>
              <w:t>*100%</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5ADA">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①预算资金到位率</w:t>
            </w:r>
            <w:r>
              <w:rPr>
                <w:rStyle w:val="7"/>
                <w:rFonts w:eastAsia="仿宋"/>
                <w:sz w:val="21"/>
                <w:szCs w:val="21"/>
              </w:rPr>
              <w:t>=100%</w:t>
            </w:r>
            <w:r>
              <w:rPr>
                <w:rFonts w:ascii="Times New Roman" w:hAnsi="仿宋" w:eastAsia="仿宋"/>
                <w:color w:val="000000"/>
                <w:kern w:val="0"/>
                <w:szCs w:val="21"/>
              </w:rPr>
              <w:t>，得</w:t>
            </w:r>
            <w:r>
              <w:rPr>
                <w:rFonts w:ascii="Times New Roman" w:hAnsi="Times New Roman" w:eastAsia="仿宋"/>
                <w:color w:val="000000"/>
                <w:kern w:val="0"/>
                <w:szCs w:val="21"/>
              </w:rPr>
              <w:t>2</w:t>
            </w:r>
            <w:r>
              <w:rPr>
                <w:rFonts w:ascii="Times New Roman" w:hAnsi="仿宋" w:eastAsia="仿宋"/>
                <w:color w:val="000000"/>
                <w:kern w:val="0"/>
                <w:szCs w:val="21"/>
              </w:rPr>
              <w:t>分；②预算资金到位率</w:t>
            </w:r>
            <w:r>
              <w:rPr>
                <w:rStyle w:val="7"/>
                <w:rFonts w:eastAsia="仿宋"/>
                <w:sz w:val="21"/>
                <w:szCs w:val="21"/>
              </w:rPr>
              <w:t>&lt;100%</w:t>
            </w:r>
            <w:r>
              <w:rPr>
                <w:rFonts w:ascii="Times New Roman" w:hAnsi="仿宋" w:eastAsia="仿宋"/>
                <w:color w:val="000000"/>
                <w:kern w:val="0"/>
                <w:szCs w:val="21"/>
              </w:rPr>
              <w:t>，每低于标准值</w:t>
            </w:r>
            <w:r>
              <w:rPr>
                <w:rStyle w:val="7"/>
                <w:rFonts w:eastAsia="仿宋"/>
                <w:sz w:val="21"/>
                <w:szCs w:val="21"/>
              </w:rPr>
              <w:t>1%</w:t>
            </w:r>
            <w:r>
              <w:rPr>
                <w:rFonts w:ascii="Times New Roman" w:hAnsi="仿宋" w:eastAsia="仿宋"/>
                <w:color w:val="000000"/>
                <w:kern w:val="0"/>
                <w:szCs w:val="21"/>
              </w:rPr>
              <w:t>扣除</w:t>
            </w:r>
            <w:r>
              <w:rPr>
                <w:rStyle w:val="7"/>
                <w:rFonts w:eastAsia="仿宋"/>
                <w:sz w:val="21"/>
                <w:szCs w:val="21"/>
              </w:rPr>
              <w:t>5%</w:t>
            </w:r>
            <w:r>
              <w:rPr>
                <w:rFonts w:ascii="Times New Roman" w:hAnsi="仿宋" w:eastAsia="仿宋"/>
                <w:color w:val="000000"/>
                <w:kern w:val="0"/>
                <w:szCs w:val="21"/>
              </w:rPr>
              <w:t>的权重分数。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95809">
            <w:pPr>
              <w:widowControl/>
              <w:spacing w:line="280" w:lineRule="exact"/>
              <w:jc w:val="center"/>
              <w:textAlignment w:val="center"/>
              <w:rPr>
                <w:rFonts w:ascii="Times New Roman" w:hAnsi="Times New Roman" w:eastAsia="等线"/>
                <w:color w:val="000000"/>
                <w:szCs w:val="21"/>
              </w:rPr>
            </w:pPr>
            <w:r>
              <w:rPr>
                <w:rFonts w:ascii="Times New Roman" w:hAnsi="Times New Roman" w:eastAsia="等线"/>
                <w:color w:val="000000"/>
                <w:kern w:val="0"/>
                <w:szCs w:val="21"/>
              </w:rPr>
              <w:t>100%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295AA">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年实际收到财政拨付资金</w:t>
            </w:r>
            <w:r>
              <w:rPr>
                <w:rFonts w:hint="eastAsia" w:ascii="Times New Roman" w:hAnsi="Times New Roman" w:eastAsia="仿宋"/>
                <w:color w:val="000000"/>
                <w:kern w:val="0"/>
                <w:szCs w:val="21"/>
              </w:rPr>
              <w:t>2700.13</w:t>
            </w:r>
            <w:r>
              <w:rPr>
                <w:rFonts w:ascii="Times New Roman" w:hAnsi="仿宋" w:eastAsia="仿宋"/>
                <w:color w:val="000000"/>
                <w:kern w:val="0"/>
                <w:szCs w:val="21"/>
              </w:rPr>
              <w:t>万元，财政计划下达资金</w:t>
            </w:r>
            <w:r>
              <w:rPr>
                <w:rFonts w:hint="eastAsia" w:ascii="Times New Roman" w:hAnsi="Times New Roman" w:eastAsia="仿宋"/>
                <w:color w:val="000000"/>
                <w:kern w:val="0"/>
                <w:szCs w:val="21"/>
              </w:rPr>
              <w:t>2700.13</w:t>
            </w:r>
            <w:r>
              <w:rPr>
                <w:rFonts w:ascii="Times New Roman" w:hAnsi="仿宋" w:eastAsia="仿宋"/>
                <w:color w:val="000000"/>
                <w:kern w:val="0"/>
                <w:szCs w:val="21"/>
              </w:rPr>
              <w:t>万元，资金到位率</w:t>
            </w:r>
            <w:r>
              <w:rPr>
                <w:rFonts w:ascii="Times New Roman" w:hAnsi="Times New Roman" w:eastAsia="仿宋"/>
                <w:color w:val="000000"/>
                <w:kern w:val="0"/>
                <w:szCs w:val="21"/>
              </w:rPr>
              <w:t>=100%</w:t>
            </w:r>
            <w:r>
              <w:rPr>
                <w:rFonts w:ascii="Times New Roman" w:hAnsi="仿宋" w:eastAsia="仿宋"/>
                <w:color w:val="000000"/>
                <w:kern w:val="0"/>
                <w:szCs w:val="21"/>
              </w:rPr>
              <w:t>，得</w:t>
            </w:r>
            <w:r>
              <w:rPr>
                <w:rFonts w:ascii="Times New Roman" w:hAnsi="Times New Roman" w:eastAsia="仿宋"/>
                <w:color w:val="000000"/>
                <w:kern w:val="0"/>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B4A60">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6F643406">
        <w:tblPrEx>
          <w:tblCellMar>
            <w:top w:w="0" w:type="dxa"/>
            <w:left w:w="108" w:type="dxa"/>
            <w:bottom w:w="0" w:type="dxa"/>
            <w:right w:w="108" w:type="dxa"/>
          </w:tblCellMar>
        </w:tblPrEx>
        <w:trPr>
          <w:trHeight w:val="130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70DDE292">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05E90B41">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66133">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B12</w:t>
            </w:r>
            <w:r>
              <w:rPr>
                <w:rFonts w:ascii="Times New Roman" w:hAnsi="仿宋" w:eastAsia="仿宋"/>
                <w:color w:val="000000"/>
                <w:kern w:val="0"/>
                <w:szCs w:val="21"/>
              </w:rPr>
              <w:t>预算编制与重点工作任务的匹配性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97F4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C9D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匹配</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D1624">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预算内容是否与部门职责匹配，预算编制是否与重点工作任务相匹配</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23D5B">
            <w:pPr>
              <w:widowControl/>
              <w:spacing w:line="280" w:lineRule="exact"/>
              <w:jc w:val="left"/>
              <w:textAlignment w:val="center"/>
              <w:rPr>
                <w:rFonts w:ascii="Times New Roman" w:hAnsi="Times New Roman" w:eastAsia="仿宋"/>
                <w:color w:val="000000"/>
                <w:kern w:val="0"/>
                <w:szCs w:val="21"/>
              </w:rPr>
            </w:pPr>
            <w:r>
              <w:rPr>
                <w:rFonts w:ascii="Times New Roman" w:hAnsi="仿宋" w:eastAsia="仿宋"/>
                <w:color w:val="000000"/>
                <w:kern w:val="0"/>
                <w:szCs w:val="21"/>
              </w:rPr>
              <w:t>①预算内容与部门职责匹配，得</w:t>
            </w:r>
            <w:r>
              <w:rPr>
                <w:rFonts w:ascii="Times New Roman" w:hAnsi="Times New Roman" w:eastAsia="仿宋"/>
                <w:color w:val="000000"/>
                <w:kern w:val="0"/>
                <w:szCs w:val="21"/>
              </w:rPr>
              <w:t xml:space="preserve"> 1 </w:t>
            </w:r>
          </w:p>
          <w:p w14:paraId="44985EA8">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分；不匹配，得</w:t>
            </w:r>
            <w:r>
              <w:rPr>
                <w:rFonts w:ascii="Times New Roman" w:hAnsi="Times New Roman" w:eastAsia="仿宋"/>
                <w:color w:val="000000"/>
                <w:kern w:val="0"/>
                <w:szCs w:val="21"/>
              </w:rPr>
              <w:t xml:space="preserve"> 0 </w:t>
            </w:r>
            <w:r>
              <w:rPr>
                <w:rFonts w:ascii="Times New Roman" w:hAnsi="仿宋" w:eastAsia="仿宋"/>
                <w:color w:val="000000"/>
                <w:kern w:val="0"/>
                <w:szCs w:val="21"/>
              </w:rPr>
              <w:t>分；②预算编制</w:t>
            </w:r>
          </w:p>
          <w:p w14:paraId="0C544062">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与重点工作任务相匹配，得</w:t>
            </w:r>
            <w:r>
              <w:rPr>
                <w:rFonts w:ascii="Times New Roman" w:hAnsi="Times New Roman" w:eastAsia="仿宋"/>
                <w:color w:val="000000"/>
                <w:kern w:val="0"/>
                <w:szCs w:val="21"/>
              </w:rPr>
              <w:t xml:space="preserve"> 1 </w:t>
            </w:r>
            <w:r>
              <w:rPr>
                <w:rFonts w:ascii="Times New Roman" w:hAnsi="仿宋" w:eastAsia="仿宋"/>
                <w:color w:val="000000"/>
                <w:kern w:val="0"/>
                <w:szCs w:val="21"/>
              </w:rPr>
              <w:t>分；</w:t>
            </w:r>
          </w:p>
          <w:p w14:paraId="0DF542B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③不匹配，得</w:t>
            </w:r>
            <w:r>
              <w:rPr>
                <w:rFonts w:ascii="Times New Roman" w:hAnsi="Times New Roman" w:eastAsia="仿宋"/>
                <w:color w:val="000000"/>
                <w:kern w:val="0"/>
                <w:szCs w:val="21"/>
              </w:rPr>
              <w:t xml:space="preserve"> 0 </w:t>
            </w:r>
            <w:r>
              <w:rPr>
                <w:rFonts w:ascii="Times New Roman" w:hAnsi="仿宋" w:eastAsia="仿宋"/>
                <w:color w:val="000000"/>
                <w:kern w:val="0"/>
                <w:szCs w:val="21"/>
              </w:rPr>
              <w:t>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BE115">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匹配</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BF850">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根据《南京市人才服务中心</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年度部门预算公开》文件体现本中心预算内容与部门职责匹配，得</w:t>
            </w:r>
            <w:r>
              <w:rPr>
                <w:rFonts w:ascii="Times New Roman" w:hAnsi="Times New Roman" w:eastAsia="仿宋"/>
                <w:color w:val="000000"/>
                <w:kern w:val="0"/>
                <w:szCs w:val="21"/>
              </w:rPr>
              <w:t>1</w:t>
            </w:r>
            <w:r>
              <w:rPr>
                <w:rFonts w:ascii="Times New Roman" w:hAnsi="仿宋" w:eastAsia="仿宋"/>
                <w:color w:val="000000"/>
                <w:kern w:val="0"/>
                <w:szCs w:val="21"/>
              </w:rPr>
              <w:t>分；预算编制与重点工作任务相匹配，得</w:t>
            </w:r>
            <w:r>
              <w:rPr>
                <w:rFonts w:ascii="Times New Roman" w:hAnsi="Times New Roman" w:eastAsia="仿宋"/>
                <w:color w:val="000000"/>
                <w:kern w:val="0"/>
                <w:szCs w:val="21"/>
              </w:rPr>
              <w:t>1</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2DBD">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60D3D532">
        <w:tblPrEx>
          <w:tblCellMar>
            <w:top w:w="0" w:type="dxa"/>
            <w:left w:w="108" w:type="dxa"/>
            <w:bottom w:w="0" w:type="dxa"/>
            <w:right w:w="108" w:type="dxa"/>
          </w:tblCellMar>
        </w:tblPrEx>
        <w:trPr>
          <w:trHeight w:val="136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2F64827C">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72F4BF8E">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782CE">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B13</w:t>
            </w:r>
            <w:r>
              <w:rPr>
                <w:rFonts w:ascii="Times New Roman" w:hAnsi="仿宋" w:eastAsia="仿宋"/>
                <w:color w:val="000000"/>
                <w:kern w:val="0"/>
                <w:szCs w:val="21"/>
              </w:rPr>
              <w:t>部门预算执行率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C0392">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D7181">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100.00%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D07AE">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部门预算资金执行情况。执行率</w:t>
            </w:r>
            <w:r>
              <w:rPr>
                <w:rFonts w:ascii="Times New Roman" w:hAnsi="Times New Roman" w:eastAsia="仿宋"/>
                <w:color w:val="000000"/>
                <w:kern w:val="0"/>
                <w:szCs w:val="21"/>
              </w:rPr>
              <w:t>=</w:t>
            </w:r>
            <w:r>
              <w:rPr>
                <w:rFonts w:ascii="Times New Roman" w:hAnsi="仿宋" w:eastAsia="仿宋"/>
                <w:color w:val="000000"/>
                <w:kern w:val="0"/>
                <w:szCs w:val="21"/>
              </w:rPr>
              <w:t>实际支出资金额</w:t>
            </w:r>
            <w:r>
              <w:rPr>
                <w:rFonts w:ascii="Times New Roman" w:hAnsi="Times New Roman" w:eastAsia="仿宋"/>
                <w:color w:val="000000"/>
                <w:kern w:val="0"/>
                <w:szCs w:val="21"/>
              </w:rPr>
              <w:t>/</w:t>
            </w:r>
            <w:r>
              <w:rPr>
                <w:rFonts w:ascii="Times New Roman" w:hAnsi="仿宋" w:eastAsia="仿宋"/>
                <w:color w:val="000000"/>
                <w:kern w:val="0"/>
                <w:szCs w:val="21"/>
              </w:rPr>
              <w:t>财政预算资金总额</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5B71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①部门预算执行率为</w:t>
            </w:r>
            <w:r>
              <w:rPr>
                <w:rFonts w:ascii="Times New Roman" w:hAnsi="Times New Roman" w:eastAsia="仿宋"/>
                <w:color w:val="000000"/>
                <w:kern w:val="0"/>
                <w:szCs w:val="21"/>
              </w:rPr>
              <w:t>100%</w:t>
            </w:r>
            <w:r>
              <w:rPr>
                <w:rFonts w:ascii="Times New Roman" w:hAnsi="仿宋" w:eastAsia="仿宋"/>
                <w:color w:val="000000"/>
                <w:kern w:val="0"/>
                <w:szCs w:val="21"/>
              </w:rPr>
              <w:t>，得满分；②部门预算执行率没有达到</w:t>
            </w:r>
            <w:r>
              <w:rPr>
                <w:rFonts w:ascii="Times New Roman" w:hAnsi="Times New Roman" w:eastAsia="仿宋"/>
                <w:color w:val="000000"/>
                <w:kern w:val="0"/>
                <w:szCs w:val="21"/>
              </w:rPr>
              <w:t>100%</w:t>
            </w:r>
            <w:r>
              <w:rPr>
                <w:rFonts w:ascii="Times New Roman" w:hAnsi="仿宋" w:eastAsia="仿宋"/>
                <w:color w:val="000000"/>
                <w:kern w:val="0"/>
                <w:szCs w:val="21"/>
              </w:rPr>
              <w:t>，每低于标准值</w:t>
            </w:r>
            <w:r>
              <w:rPr>
                <w:rFonts w:ascii="Times New Roman" w:hAnsi="Times New Roman" w:eastAsia="仿宋"/>
                <w:color w:val="000000"/>
                <w:kern w:val="0"/>
                <w:szCs w:val="21"/>
              </w:rPr>
              <w:t>1%</w:t>
            </w:r>
            <w:r>
              <w:rPr>
                <w:rFonts w:ascii="Times New Roman" w:hAnsi="仿宋" w:eastAsia="仿宋"/>
                <w:color w:val="000000"/>
                <w:kern w:val="0"/>
                <w:szCs w:val="21"/>
              </w:rPr>
              <w:t>扣除</w:t>
            </w:r>
            <w:r>
              <w:rPr>
                <w:rFonts w:hint="eastAsia" w:ascii="Times New Roman" w:hAnsi="Times New Roman" w:eastAsia="仿宋"/>
                <w:color w:val="000000"/>
                <w:kern w:val="0"/>
                <w:szCs w:val="21"/>
              </w:rPr>
              <w:t>0.1分</w:t>
            </w:r>
            <w:r>
              <w:rPr>
                <w:rFonts w:ascii="Times New Roman" w:hAnsi="仿宋" w:eastAsia="仿宋"/>
                <w:color w:val="000000"/>
                <w:kern w:val="0"/>
                <w:szCs w:val="21"/>
              </w:rPr>
              <w:t>。扣完为止。</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B74F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091C2">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年度部门</w:t>
            </w:r>
            <w:r>
              <w:rPr>
                <w:rFonts w:hint="eastAsia" w:ascii="Times New Roman" w:hAnsi="仿宋" w:eastAsia="仿宋"/>
                <w:color w:val="000000"/>
                <w:kern w:val="0"/>
                <w:szCs w:val="21"/>
              </w:rPr>
              <w:t>收入合计2700.13</w:t>
            </w:r>
            <w:r>
              <w:rPr>
                <w:rFonts w:ascii="Times New Roman" w:hAnsi="仿宋" w:eastAsia="仿宋"/>
                <w:color w:val="000000"/>
                <w:kern w:val="0"/>
                <w:szCs w:val="21"/>
              </w:rPr>
              <w:t>万元</w:t>
            </w:r>
            <w:r>
              <w:rPr>
                <w:rFonts w:hint="eastAsia" w:ascii="Times New Roman" w:hAnsi="仿宋" w:eastAsia="仿宋"/>
                <w:color w:val="000000"/>
                <w:kern w:val="0"/>
                <w:szCs w:val="21"/>
              </w:rPr>
              <w:t>，</w:t>
            </w:r>
            <w:r>
              <w:rPr>
                <w:rFonts w:ascii="Times New Roman" w:hAnsi="仿宋" w:eastAsia="仿宋"/>
                <w:color w:val="000000"/>
                <w:kern w:val="0"/>
                <w:szCs w:val="21"/>
              </w:rPr>
              <w:t>实际支出数为</w:t>
            </w:r>
            <w:r>
              <w:rPr>
                <w:rFonts w:hint="eastAsia" w:ascii="Times New Roman" w:hAnsi="Times New Roman" w:eastAsia="仿宋"/>
                <w:color w:val="000000"/>
                <w:kern w:val="0"/>
                <w:szCs w:val="21"/>
              </w:rPr>
              <w:t>2694.25</w:t>
            </w:r>
            <w:r>
              <w:rPr>
                <w:rFonts w:ascii="Times New Roman" w:hAnsi="仿宋" w:eastAsia="仿宋"/>
                <w:color w:val="000000"/>
                <w:kern w:val="0"/>
                <w:szCs w:val="21"/>
              </w:rPr>
              <w:t>万元，预算执行率为</w:t>
            </w:r>
            <w:r>
              <w:rPr>
                <w:rFonts w:hint="eastAsia" w:ascii="Times New Roman" w:hAnsi="Times New Roman" w:eastAsia="仿宋"/>
                <w:color w:val="000000"/>
                <w:kern w:val="0"/>
                <w:szCs w:val="21"/>
              </w:rPr>
              <w:t>99.78</w:t>
            </w:r>
            <w:r>
              <w:rPr>
                <w:rFonts w:ascii="Times New Roman" w:hAnsi="Times New Roman" w:eastAsia="仿宋"/>
                <w:color w:val="000000"/>
                <w:kern w:val="0"/>
                <w:szCs w:val="21"/>
              </w:rPr>
              <w:t>%</w:t>
            </w:r>
            <w:r>
              <w:rPr>
                <w:rFonts w:ascii="Times New Roman" w:hAnsi="仿宋" w:eastAsia="仿宋"/>
                <w:color w:val="000000"/>
                <w:kern w:val="0"/>
                <w:szCs w:val="21"/>
              </w:rPr>
              <w:t>。</w:t>
            </w:r>
            <w:r>
              <w:rPr>
                <w:rFonts w:hint="eastAsia" w:ascii="Times New Roman" w:hAnsi="仿宋" w:eastAsia="仿宋"/>
                <w:color w:val="000000"/>
                <w:kern w:val="0"/>
                <w:szCs w:val="21"/>
              </w:rPr>
              <w:t>酌情扣0.5分。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166E4">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szCs w:val="21"/>
              </w:rPr>
              <w:t>1.5</w:t>
            </w:r>
          </w:p>
        </w:tc>
      </w:tr>
      <w:tr w14:paraId="125509D3">
        <w:tblPrEx>
          <w:tblCellMar>
            <w:top w:w="0" w:type="dxa"/>
            <w:left w:w="108" w:type="dxa"/>
            <w:bottom w:w="0" w:type="dxa"/>
            <w:right w:w="108" w:type="dxa"/>
          </w:tblCellMar>
        </w:tblPrEx>
        <w:trPr>
          <w:trHeight w:val="244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46A6CA26">
            <w:pPr>
              <w:spacing w:line="280" w:lineRule="exact"/>
              <w:jc w:val="center"/>
              <w:rPr>
                <w:rFonts w:ascii="Times New Roman" w:hAnsi="Times New Roman" w:eastAsia="仿宋"/>
                <w:b/>
                <w:bCs/>
                <w:color w:val="000000"/>
                <w:szCs w:val="21"/>
              </w:rPr>
            </w:pPr>
          </w:p>
        </w:tc>
        <w:tc>
          <w:tcPr>
            <w:tcW w:w="859" w:type="dxa"/>
            <w:tcBorders>
              <w:top w:val="nil"/>
              <w:left w:val="single" w:color="000000" w:sz="4" w:space="0"/>
              <w:bottom w:val="nil"/>
              <w:right w:val="single" w:color="000000" w:sz="4" w:space="0"/>
            </w:tcBorders>
            <w:shd w:val="clear" w:color="auto" w:fill="FFFFFF"/>
            <w:vAlign w:val="center"/>
          </w:tcPr>
          <w:p w14:paraId="36F9B05A">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DDA50">
            <w:pPr>
              <w:widowControl/>
              <w:spacing w:line="280" w:lineRule="exact"/>
              <w:jc w:val="left"/>
              <w:textAlignment w:val="center"/>
              <w:rPr>
                <w:rFonts w:ascii="Times New Roman" w:hAnsi="仿宋" w:eastAsia="仿宋"/>
                <w:color w:val="000000"/>
                <w:kern w:val="0"/>
                <w:szCs w:val="21"/>
              </w:rPr>
            </w:pPr>
            <w:r>
              <w:rPr>
                <w:rFonts w:hint="eastAsia" w:ascii="Times New Roman" w:hAnsi="仿宋" w:eastAsia="仿宋"/>
                <w:color w:val="000000"/>
                <w:kern w:val="0"/>
                <w:szCs w:val="21"/>
              </w:rPr>
              <w:t>B14</w:t>
            </w:r>
            <w:r>
              <w:rPr>
                <w:rFonts w:ascii="Times New Roman" w:hAnsi="仿宋" w:eastAsia="仿宋"/>
                <w:color w:val="000000"/>
                <w:kern w:val="0"/>
                <w:szCs w:val="21"/>
              </w:rPr>
              <w:t>预决算</w:t>
            </w:r>
          </w:p>
          <w:p w14:paraId="14D1A36E">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信息公开情</w:t>
            </w:r>
          </w:p>
          <w:p w14:paraId="4D32D7B0">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况</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025A3">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02DC">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及时、公开、透</w:t>
            </w:r>
          </w:p>
          <w:p w14:paraId="113C1495">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明</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B57B8">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预决算公开是否及时、公开、透明</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AEFF">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①预决算按要求进行公开，得</w:t>
            </w:r>
            <w:r>
              <w:rPr>
                <w:rFonts w:ascii="Times New Roman" w:hAnsi="Times New Roman" w:eastAsia="仿宋"/>
                <w:color w:val="000000"/>
                <w:kern w:val="0"/>
                <w:szCs w:val="21"/>
              </w:rPr>
              <w:t>0.5</w:t>
            </w:r>
            <w:r>
              <w:rPr>
                <w:rFonts w:ascii="Times New Roman" w:hAnsi="仿宋" w:eastAsia="仿宋"/>
                <w:color w:val="000000"/>
                <w:kern w:val="0"/>
                <w:szCs w:val="21"/>
              </w:rPr>
              <w:t>分；未在公开，得</w:t>
            </w:r>
            <w:r>
              <w:rPr>
                <w:rFonts w:ascii="Times New Roman" w:hAnsi="Times New Roman" w:eastAsia="仿宋"/>
                <w:color w:val="000000"/>
                <w:kern w:val="0"/>
                <w:szCs w:val="21"/>
              </w:rPr>
              <w:t xml:space="preserve"> 0 </w:t>
            </w:r>
            <w:r>
              <w:rPr>
                <w:rFonts w:ascii="Times New Roman" w:hAnsi="仿宋" w:eastAsia="仿宋"/>
                <w:color w:val="000000"/>
                <w:kern w:val="0"/>
                <w:szCs w:val="21"/>
              </w:rPr>
              <w:t>分；②预决算公开的内容和时限符合要求，得</w:t>
            </w:r>
            <w:r>
              <w:rPr>
                <w:rFonts w:ascii="Times New Roman" w:hAnsi="Times New Roman" w:eastAsia="仿宋"/>
                <w:color w:val="000000"/>
                <w:kern w:val="0"/>
                <w:szCs w:val="21"/>
              </w:rPr>
              <w:t>0.5</w:t>
            </w:r>
            <w:r>
              <w:rPr>
                <w:rFonts w:ascii="Times New Roman" w:hAnsi="仿宋" w:eastAsia="仿宋"/>
                <w:color w:val="000000"/>
                <w:kern w:val="0"/>
                <w:szCs w:val="21"/>
              </w:rPr>
              <w:t>分，不符合要求，得</w:t>
            </w:r>
            <w:r>
              <w:rPr>
                <w:rFonts w:ascii="Times New Roman" w:hAnsi="Times New Roman" w:eastAsia="仿宋"/>
                <w:color w:val="000000"/>
                <w:kern w:val="0"/>
                <w:szCs w:val="21"/>
              </w:rPr>
              <w:t>0</w:t>
            </w:r>
            <w:r>
              <w:rPr>
                <w:rFonts w:ascii="Times New Roman" w:hAnsi="仿宋" w:eastAsia="仿宋"/>
                <w:color w:val="000000"/>
                <w:kern w:val="0"/>
                <w:szCs w:val="21"/>
              </w:rPr>
              <w:t>分；本指标分值为上述</w:t>
            </w:r>
            <w:r>
              <w:rPr>
                <w:rFonts w:ascii="Times New Roman" w:hAnsi="Times New Roman" w:eastAsia="仿宋"/>
                <w:color w:val="000000"/>
                <w:kern w:val="0"/>
                <w:szCs w:val="21"/>
              </w:rPr>
              <w:t xml:space="preserve"> 2</w:t>
            </w:r>
            <w:r>
              <w:rPr>
                <w:rFonts w:ascii="Times New Roman" w:hAnsi="仿宋" w:eastAsia="仿宋"/>
                <w:color w:val="000000"/>
                <w:kern w:val="0"/>
                <w:szCs w:val="21"/>
              </w:rPr>
              <w:t>项各自得分之和</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0FCF">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完成</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31EDB">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①部门预决算按要求进行公开；②年度预决算公开的内容和时限符合要求。根据评分标准，得</w:t>
            </w:r>
            <w:r>
              <w:rPr>
                <w:rFonts w:ascii="Times New Roman" w:hAnsi="Times New Roman" w:eastAsia="仿宋"/>
                <w:color w:val="000000"/>
                <w:kern w:val="0"/>
                <w:szCs w:val="21"/>
              </w:rPr>
              <w:t xml:space="preserve">1 </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0C14">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r>
      <w:tr w14:paraId="0D79AC45">
        <w:tblPrEx>
          <w:tblCellMar>
            <w:top w:w="0" w:type="dxa"/>
            <w:left w:w="108" w:type="dxa"/>
            <w:bottom w:w="0" w:type="dxa"/>
            <w:right w:w="108" w:type="dxa"/>
          </w:tblCellMar>
        </w:tblPrEx>
        <w:trPr>
          <w:trHeight w:val="1581"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1C59ECB6">
            <w:pPr>
              <w:spacing w:line="280" w:lineRule="exact"/>
              <w:jc w:val="center"/>
              <w:rPr>
                <w:rFonts w:ascii="Times New Roman" w:hAnsi="Times New Roman" w:eastAsia="仿宋"/>
                <w:b/>
                <w:bCs/>
                <w:color w:val="000000"/>
                <w:szCs w:val="21"/>
              </w:rPr>
            </w:pPr>
          </w:p>
        </w:tc>
        <w:tc>
          <w:tcPr>
            <w:tcW w:w="859" w:type="dxa"/>
            <w:vMerge w:val="restart"/>
            <w:tcBorders>
              <w:top w:val="single" w:color="000000" w:sz="4" w:space="0"/>
              <w:left w:val="single" w:color="000000" w:sz="4" w:space="0"/>
              <w:bottom w:val="nil"/>
              <w:right w:val="single" w:color="000000" w:sz="4" w:space="0"/>
            </w:tcBorders>
            <w:shd w:val="clear" w:color="auto" w:fill="FFFFFF"/>
            <w:vAlign w:val="center"/>
          </w:tcPr>
          <w:p w14:paraId="5E5187E0">
            <w:pPr>
              <w:widowControl/>
              <w:spacing w:line="280" w:lineRule="exact"/>
              <w:jc w:val="center"/>
              <w:textAlignment w:val="center"/>
              <w:rPr>
                <w:rFonts w:ascii="Times New Roman" w:hAnsi="Times New Roman" w:eastAsia="仿宋"/>
                <w:b/>
                <w:bCs/>
                <w:color w:val="000000"/>
                <w:szCs w:val="21"/>
              </w:rPr>
            </w:pPr>
            <w:r>
              <w:rPr>
                <w:rFonts w:hint="eastAsia" w:ascii="Times New Roman" w:hAnsi="Times New Roman" w:eastAsia="仿宋"/>
                <w:b/>
                <w:bCs/>
                <w:color w:val="000000"/>
                <w:kern w:val="0"/>
                <w:szCs w:val="21"/>
              </w:rPr>
              <w:t>B2</w:t>
            </w:r>
            <w:r>
              <w:rPr>
                <w:rFonts w:ascii="Times New Roman" w:hAnsi="仿宋" w:eastAsia="仿宋"/>
                <w:b/>
                <w:bCs/>
                <w:color w:val="000000"/>
                <w:kern w:val="0"/>
                <w:szCs w:val="21"/>
              </w:rPr>
              <w:t>管理效率</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EC3D8">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B21</w:t>
            </w:r>
            <w:r>
              <w:rPr>
                <w:rFonts w:ascii="Times New Roman" w:hAnsi="仿宋" w:eastAsia="仿宋"/>
                <w:color w:val="000000"/>
                <w:kern w:val="0"/>
                <w:szCs w:val="21"/>
              </w:rPr>
              <w:t>财务制度健全性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2B22C">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EF3AC">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健全</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E63D">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是否制定预算收支管理办法、内部财务管理制度、会计核算等管理制度</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4EFDC">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①已制定预算收支管理办法，得</w:t>
            </w:r>
            <w:r>
              <w:rPr>
                <w:rStyle w:val="7"/>
                <w:rFonts w:eastAsia="仿宋"/>
                <w:sz w:val="21"/>
                <w:szCs w:val="21"/>
              </w:rPr>
              <w:t>1</w:t>
            </w:r>
            <w:r>
              <w:rPr>
                <w:rFonts w:ascii="Times New Roman" w:hAnsi="仿宋" w:eastAsia="仿宋"/>
                <w:color w:val="000000"/>
                <w:kern w:val="0"/>
                <w:szCs w:val="21"/>
              </w:rPr>
              <w:t>分；未制定，得</w:t>
            </w:r>
            <w:r>
              <w:rPr>
                <w:rStyle w:val="7"/>
                <w:rFonts w:eastAsia="仿宋"/>
                <w:sz w:val="21"/>
                <w:szCs w:val="21"/>
              </w:rPr>
              <w:t>0</w:t>
            </w:r>
            <w:r>
              <w:rPr>
                <w:rFonts w:ascii="Times New Roman" w:hAnsi="仿宋" w:eastAsia="仿宋"/>
                <w:color w:val="000000"/>
                <w:kern w:val="0"/>
                <w:szCs w:val="21"/>
              </w:rPr>
              <w:t>分；②内部财务管理制度、会计核算等管理制度，得</w:t>
            </w:r>
            <w:r>
              <w:rPr>
                <w:rStyle w:val="7"/>
                <w:rFonts w:eastAsia="仿宋"/>
                <w:sz w:val="21"/>
                <w:szCs w:val="21"/>
              </w:rPr>
              <w:t>1</w:t>
            </w:r>
            <w:r>
              <w:rPr>
                <w:rFonts w:ascii="Times New Roman" w:hAnsi="仿宋" w:eastAsia="仿宋"/>
                <w:color w:val="000000"/>
                <w:kern w:val="0"/>
                <w:szCs w:val="21"/>
              </w:rPr>
              <w:t>分；未全部制定，得</w:t>
            </w:r>
            <w:r>
              <w:rPr>
                <w:rStyle w:val="7"/>
                <w:rFonts w:eastAsia="仿宋"/>
                <w:sz w:val="21"/>
                <w:szCs w:val="21"/>
              </w:rPr>
              <w:t>0</w:t>
            </w:r>
            <w:r>
              <w:rPr>
                <w:rFonts w:ascii="Times New Roman" w:hAnsi="仿宋" w:eastAsia="仿宋"/>
                <w:color w:val="000000"/>
                <w:kern w:val="0"/>
                <w:szCs w:val="21"/>
              </w:rPr>
              <w:t>分；本指标分值为上述</w:t>
            </w:r>
            <w:r>
              <w:rPr>
                <w:rStyle w:val="7"/>
                <w:rFonts w:eastAsia="仿宋"/>
                <w:sz w:val="21"/>
                <w:szCs w:val="21"/>
              </w:rPr>
              <w:t>2</w:t>
            </w:r>
            <w:r>
              <w:rPr>
                <w:rFonts w:ascii="Times New Roman" w:hAnsi="仿宋" w:eastAsia="仿宋"/>
                <w:color w:val="000000"/>
                <w:kern w:val="0"/>
                <w:szCs w:val="21"/>
              </w:rPr>
              <w:t>项各自得分之和。</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D0891">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健全</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D3654">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制定了《人才中心财务管理办法》、《南京市人才服务中心三公经费、会议费、培训费管理办法》、《应提交中心主任办公会研究决定的</w:t>
            </w:r>
            <w:r>
              <w:rPr>
                <w:rFonts w:ascii="Times New Roman" w:hAnsi="Times New Roman" w:eastAsia="仿宋"/>
                <w:color w:val="000000"/>
                <w:kern w:val="0"/>
                <w:szCs w:val="21"/>
              </w:rPr>
              <w:t>“</w:t>
            </w:r>
            <w:r>
              <w:rPr>
                <w:rFonts w:ascii="Times New Roman" w:hAnsi="仿宋" w:eastAsia="仿宋"/>
                <w:color w:val="000000"/>
                <w:kern w:val="0"/>
                <w:szCs w:val="21"/>
              </w:rPr>
              <w:t>三重一大</w:t>
            </w:r>
            <w:r>
              <w:rPr>
                <w:rFonts w:ascii="Times New Roman" w:hAnsi="Times New Roman" w:eastAsia="仿宋"/>
                <w:color w:val="000000"/>
                <w:kern w:val="0"/>
                <w:szCs w:val="21"/>
              </w:rPr>
              <w:t>”</w:t>
            </w:r>
            <w:r>
              <w:rPr>
                <w:rFonts w:ascii="Times New Roman" w:hAnsi="仿宋" w:eastAsia="仿宋"/>
                <w:color w:val="000000"/>
                <w:kern w:val="0"/>
                <w:szCs w:val="21"/>
              </w:rPr>
              <w:t>具体事项有关规定》、《关于南京市人才服务中心加班费、误餐费标准的规定》等，根据评分标准得</w:t>
            </w:r>
            <w:r>
              <w:rPr>
                <w:rStyle w:val="7"/>
                <w:rFonts w:eastAsia="仿宋"/>
                <w:sz w:val="21"/>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1CA27">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059C3F9C">
        <w:tblPrEx>
          <w:tblCellMar>
            <w:top w:w="0" w:type="dxa"/>
            <w:left w:w="108" w:type="dxa"/>
            <w:bottom w:w="0" w:type="dxa"/>
            <w:right w:w="108" w:type="dxa"/>
          </w:tblCellMar>
        </w:tblPrEx>
        <w:trPr>
          <w:trHeight w:val="262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436EC882">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00F09C74">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1B164">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B22</w:t>
            </w:r>
            <w:r>
              <w:rPr>
                <w:rFonts w:ascii="Times New Roman" w:hAnsi="仿宋" w:eastAsia="仿宋"/>
                <w:color w:val="000000"/>
                <w:kern w:val="0"/>
                <w:szCs w:val="21"/>
              </w:rPr>
              <w:t>财务制度执行有效性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FCD54">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2BDAF">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有效</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DA13">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是否严格按照财务制度执行各项收入与各项支出，收入是否能够及时上缴，做到“应收尽收”、“应缴尽缴”</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F31AA">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①严格按照财务制度执行各项收入与各项支出，得1分，</w:t>
            </w:r>
            <w:r>
              <w:rPr>
                <w:rFonts w:hint="eastAsia" w:ascii="Times New Roman" w:hAnsi="仿宋" w:eastAsia="仿宋"/>
                <w:color w:val="000000"/>
                <w:kern w:val="0"/>
                <w:szCs w:val="21"/>
              </w:rPr>
              <w:t>未严格执行，得0分；</w:t>
            </w:r>
            <w:r>
              <w:rPr>
                <w:rFonts w:ascii="Times New Roman" w:hAnsi="仿宋" w:eastAsia="仿宋"/>
                <w:color w:val="000000"/>
                <w:kern w:val="0"/>
                <w:szCs w:val="21"/>
              </w:rPr>
              <w:t>②收入能够及时上缴，做到“应收尽收”、“应缴尽缴”，得1分，</w:t>
            </w:r>
            <w:r>
              <w:rPr>
                <w:rFonts w:hint="eastAsia" w:ascii="Times New Roman" w:hAnsi="仿宋" w:eastAsia="仿宋"/>
                <w:color w:val="000000"/>
                <w:kern w:val="0"/>
                <w:szCs w:val="21"/>
              </w:rPr>
              <w:t>未及时上缴，得0分</w:t>
            </w:r>
            <w:r>
              <w:rPr>
                <w:rFonts w:ascii="Times New Roman" w:hAnsi="仿宋" w:eastAsia="仿宋"/>
                <w:color w:val="000000"/>
                <w:kern w:val="0"/>
                <w:szCs w:val="21"/>
              </w:rPr>
              <w:t>。</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2999">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有效</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49BDC">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部门的收入与支出能够能按照部门收支管理制度执行，未发现不符合规范处，得满分。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E7BB6">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722C96E3">
        <w:tblPrEx>
          <w:tblCellMar>
            <w:top w:w="0" w:type="dxa"/>
            <w:left w:w="108" w:type="dxa"/>
            <w:bottom w:w="0" w:type="dxa"/>
            <w:right w:w="108" w:type="dxa"/>
          </w:tblCellMar>
        </w:tblPrEx>
        <w:trPr>
          <w:trHeight w:val="1084"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10231A79">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10875866">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58782">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B23</w:t>
            </w:r>
            <w:r>
              <w:rPr>
                <w:rFonts w:ascii="Times New Roman" w:hAnsi="仿宋" w:eastAsia="仿宋"/>
                <w:color w:val="000000"/>
                <w:kern w:val="0"/>
                <w:szCs w:val="21"/>
              </w:rPr>
              <w:t>资金使用规范性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2EED6">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C0B5">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合规</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C41AE">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资金的使用是否合法、合规及合理</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651EB">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①按照三定方案及管理办法，资金使用没有超过职能范围，重要职能履行未遗漏，得1分，否则不得分；②资金使用合规、合法及合理，得1分，否则不得分；③出现截留、挤占、挪用等行为，该指标不得分。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5CEC4">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合规</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1AD59">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按照三定方案及管理办法，资金使用没有超过职能范围，重要职能得到履行未遗漏；资金使用合规、合法及合理。本指标得2分。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DE76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11A30332">
        <w:tblPrEx>
          <w:tblCellMar>
            <w:top w:w="0" w:type="dxa"/>
            <w:left w:w="108" w:type="dxa"/>
            <w:bottom w:w="0" w:type="dxa"/>
            <w:right w:w="108" w:type="dxa"/>
          </w:tblCellMar>
        </w:tblPrEx>
        <w:trPr>
          <w:trHeight w:val="634"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2C2698AD">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0C24CF36">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80E7A">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B24</w:t>
            </w:r>
            <w:r>
              <w:rPr>
                <w:rFonts w:ascii="Times New Roman" w:hAnsi="Times New Roman" w:eastAsia="仿宋"/>
                <w:color w:val="000000"/>
                <w:kern w:val="0"/>
                <w:szCs w:val="21"/>
              </w:rPr>
              <w:t>“</w:t>
            </w:r>
            <w:r>
              <w:rPr>
                <w:rFonts w:ascii="Times New Roman" w:hAnsi="仿宋" w:eastAsia="仿宋"/>
                <w:color w:val="000000"/>
                <w:kern w:val="0"/>
                <w:szCs w:val="21"/>
              </w:rPr>
              <w:t>三公</w:t>
            </w:r>
            <w:r>
              <w:rPr>
                <w:rFonts w:ascii="Times New Roman" w:hAnsi="Times New Roman" w:eastAsia="仿宋"/>
                <w:color w:val="000000"/>
                <w:kern w:val="0"/>
                <w:szCs w:val="21"/>
              </w:rPr>
              <w:t>”</w:t>
            </w:r>
            <w:r>
              <w:rPr>
                <w:rFonts w:ascii="Times New Roman" w:hAnsi="仿宋" w:eastAsia="仿宋"/>
                <w:color w:val="000000"/>
                <w:kern w:val="0"/>
                <w:szCs w:val="21"/>
              </w:rPr>
              <w:t>经费控制率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F4593">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424E1">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≤100%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B4298">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“三公”经费控制率=“三公经费”的实际支出数/三公经费”的预算数*100%</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F1A40">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①“三公”经费控制率在100%（含）以下，得2分；②每超过1%扣除5%权重，扣完为止。</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11477">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100.00%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C0F5B">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202</w:t>
            </w:r>
            <w:r>
              <w:rPr>
                <w:rFonts w:hint="eastAsia" w:ascii="Times New Roman" w:hAnsi="仿宋" w:eastAsia="仿宋"/>
                <w:color w:val="000000"/>
                <w:kern w:val="0"/>
                <w:szCs w:val="21"/>
              </w:rPr>
              <w:t>4</w:t>
            </w:r>
            <w:r>
              <w:rPr>
                <w:rFonts w:ascii="Times New Roman" w:hAnsi="仿宋" w:eastAsia="仿宋"/>
                <w:color w:val="000000"/>
                <w:kern w:val="0"/>
                <w:szCs w:val="21"/>
              </w:rPr>
              <w:t>年我中心本级“三公经费”的实际支出数为</w:t>
            </w:r>
            <w:r>
              <w:rPr>
                <w:rFonts w:hint="eastAsia" w:ascii="Times New Roman" w:hAnsi="仿宋" w:eastAsia="仿宋"/>
                <w:color w:val="000000"/>
                <w:kern w:val="0"/>
                <w:szCs w:val="21"/>
              </w:rPr>
              <w:t>6.57</w:t>
            </w:r>
            <w:r>
              <w:rPr>
                <w:rFonts w:ascii="Times New Roman" w:hAnsi="仿宋" w:eastAsia="仿宋"/>
                <w:color w:val="000000"/>
                <w:kern w:val="0"/>
                <w:szCs w:val="21"/>
              </w:rPr>
              <w:t>万元，预算数为</w:t>
            </w:r>
            <w:r>
              <w:rPr>
                <w:rFonts w:hint="eastAsia" w:ascii="Times New Roman" w:hAnsi="仿宋" w:eastAsia="仿宋"/>
                <w:color w:val="000000"/>
                <w:kern w:val="0"/>
                <w:szCs w:val="21"/>
              </w:rPr>
              <w:t>9.72</w:t>
            </w:r>
            <w:r>
              <w:rPr>
                <w:rFonts w:ascii="Times New Roman" w:hAnsi="仿宋" w:eastAsia="仿宋"/>
                <w:color w:val="000000"/>
                <w:kern w:val="0"/>
                <w:szCs w:val="21"/>
              </w:rPr>
              <w:t>万元，“三公经费”控制率=</w:t>
            </w:r>
            <w:r>
              <w:rPr>
                <w:rFonts w:hint="eastAsia" w:ascii="Times New Roman" w:hAnsi="仿宋" w:eastAsia="仿宋"/>
                <w:color w:val="000000"/>
                <w:kern w:val="0"/>
                <w:szCs w:val="21"/>
              </w:rPr>
              <w:t>6.57</w:t>
            </w:r>
            <w:r>
              <w:rPr>
                <w:rFonts w:ascii="Times New Roman" w:hAnsi="仿宋" w:eastAsia="仿宋"/>
                <w:color w:val="000000"/>
                <w:kern w:val="0"/>
                <w:szCs w:val="21"/>
              </w:rPr>
              <w:t>/</w:t>
            </w:r>
            <w:r>
              <w:rPr>
                <w:rFonts w:hint="eastAsia" w:ascii="Times New Roman" w:hAnsi="仿宋" w:eastAsia="仿宋"/>
                <w:color w:val="000000"/>
                <w:kern w:val="0"/>
                <w:szCs w:val="21"/>
              </w:rPr>
              <w:t>9.72</w:t>
            </w:r>
            <w:r>
              <w:rPr>
                <w:rFonts w:ascii="Times New Roman" w:hAnsi="仿宋" w:eastAsia="仿宋"/>
                <w:color w:val="000000"/>
                <w:kern w:val="0"/>
                <w:szCs w:val="21"/>
              </w:rPr>
              <w:t>*100%=</w:t>
            </w:r>
            <w:r>
              <w:rPr>
                <w:rFonts w:hint="eastAsia" w:ascii="Times New Roman" w:hAnsi="仿宋" w:eastAsia="仿宋"/>
                <w:color w:val="000000"/>
                <w:kern w:val="0"/>
                <w:szCs w:val="21"/>
              </w:rPr>
              <w:t>67.59</w:t>
            </w:r>
            <w:r>
              <w:rPr>
                <w:rFonts w:ascii="Times New Roman" w:hAnsi="仿宋" w:eastAsia="仿宋"/>
                <w:color w:val="000000"/>
                <w:kern w:val="0"/>
                <w:szCs w:val="21"/>
              </w:rPr>
              <w:t>%。根据评分标准，得2分。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5A2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6F0B6985">
        <w:tblPrEx>
          <w:tblCellMar>
            <w:top w:w="0" w:type="dxa"/>
            <w:left w:w="108" w:type="dxa"/>
            <w:bottom w:w="0" w:type="dxa"/>
            <w:right w:w="108" w:type="dxa"/>
          </w:tblCellMar>
        </w:tblPrEx>
        <w:trPr>
          <w:trHeight w:val="222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2BAF761F">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014F3D4F">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D6E20">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B25</w:t>
            </w:r>
            <w:r>
              <w:rPr>
                <w:rFonts w:ascii="Times New Roman" w:hAnsi="仿宋" w:eastAsia="仿宋"/>
                <w:color w:val="000000"/>
                <w:kern w:val="0"/>
                <w:szCs w:val="21"/>
              </w:rPr>
              <w:t>政府采购规范性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E4986">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DFF2">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规范</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654C3">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是否严格按照采购流程进行采购，是否有超标超额采购、重复采购，是否严格执行“购管分离”制度</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2F218">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①严格按照采购流程进行采购，得1分；未严格执行，得0分；②无超标超额采购、重复采购，严格执行“购管分离”制度，得1分；否则得0分；本指标分值为上述2项各自得分之和。</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086B">
            <w:pPr>
              <w:widowControl/>
              <w:spacing w:line="280" w:lineRule="exact"/>
              <w:jc w:val="center"/>
              <w:textAlignment w:val="center"/>
              <w:rPr>
                <w:rFonts w:ascii="Times New Roman" w:hAnsi="仿宋" w:eastAsia="仿宋"/>
                <w:color w:val="000000"/>
                <w:kern w:val="0"/>
                <w:szCs w:val="21"/>
              </w:rPr>
            </w:pPr>
            <w:r>
              <w:rPr>
                <w:rFonts w:hint="eastAsia" w:ascii="Times New Roman" w:hAnsi="仿宋" w:eastAsia="仿宋"/>
                <w:color w:val="000000"/>
                <w:kern w:val="0"/>
                <w:szCs w:val="21"/>
              </w:rPr>
              <w:t>规范</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3F9C">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中心按照采购流程进行采购，无超标超额采购、重复采购，执行“购管分离”制度</w:t>
            </w:r>
            <w:r>
              <w:rPr>
                <w:rFonts w:hint="eastAsia" w:ascii="Times New Roman" w:hAnsi="仿宋" w:eastAsia="仿宋"/>
                <w:color w:val="000000"/>
                <w:kern w:val="0"/>
                <w:szCs w:val="21"/>
              </w:rPr>
              <w:t>，</w:t>
            </w:r>
            <w:r>
              <w:rPr>
                <w:rFonts w:ascii="Times New Roman" w:hAnsi="仿宋" w:eastAsia="仿宋"/>
                <w:color w:val="000000"/>
                <w:kern w:val="0"/>
                <w:szCs w:val="21"/>
              </w:rPr>
              <w:t>根据评分标准，得</w:t>
            </w:r>
            <w:r>
              <w:rPr>
                <w:rFonts w:hint="eastAsia" w:ascii="Times New Roman" w:hAnsi="仿宋" w:eastAsia="仿宋"/>
                <w:color w:val="000000"/>
                <w:kern w:val="0"/>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BA077">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w:t>
            </w:r>
          </w:p>
        </w:tc>
      </w:tr>
      <w:tr w14:paraId="20F71D80">
        <w:tblPrEx>
          <w:tblCellMar>
            <w:top w:w="0" w:type="dxa"/>
            <w:left w:w="108" w:type="dxa"/>
            <w:bottom w:w="0" w:type="dxa"/>
            <w:right w:w="108" w:type="dxa"/>
          </w:tblCellMar>
        </w:tblPrEx>
        <w:trPr>
          <w:trHeight w:val="188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34FA789A">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5BC49F11">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F7873">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B26</w:t>
            </w:r>
            <w:r>
              <w:rPr>
                <w:rFonts w:ascii="Times New Roman" w:hAnsi="仿宋" w:eastAsia="仿宋"/>
                <w:color w:val="000000"/>
                <w:kern w:val="0"/>
                <w:szCs w:val="21"/>
              </w:rPr>
              <w:t>资产管理规范性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88D36">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F2253">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规范</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DEBA8">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是否有相应的购置、使用、处置的制度；是否严格遵守流程对资产进行购置、使用、处置</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05E5E">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制定相关规章制度，并能严格遵守规章制度对资产进行配置、使用、处置，并能定期对资产进行盘点得2分，存在未能遵守流程对资产进行配置、使用、处置、盘点情况，发现一例扣0.5分，扣完为止。</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FBA0D">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规范</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0B196">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中心制定了《人才中心固定资产管理办法》，遵守流程对资产进行配置、使用、处置，</w:t>
            </w:r>
            <w:r>
              <w:rPr>
                <w:rFonts w:hint="eastAsia" w:ascii="Times New Roman" w:hAnsi="仿宋" w:eastAsia="仿宋"/>
                <w:color w:val="000000"/>
                <w:kern w:val="0"/>
                <w:szCs w:val="21"/>
              </w:rPr>
              <w:t>能</w:t>
            </w:r>
            <w:r>
              <w:rPr>
                <w:rFonts w:ascii="Times New Roman" w:hAnsi="仿宋" w:eastAsia="仿宋"/>
                <w:color w:val="000000"/>
                <w:kern w:val="0"/>
                <w:szCs w:val="21"/>
              </w:rPr>
              <w:t>对资产做定期盘点清查</w:t>
            </w:r>
            <w:r>
              <w:rPr>
                <w:rFonts w:hint="eastAsia" w:ascii="Times New Roman" w:hAnsi="仿宋" w:eastAsia="仿宋"/>
                <w:color w:val="000000"/>
                <w:kern w:val="0"/>
                <w:szCs w:val="21"/>
              </w:rPr>
              <w:t>。</w:t>
            </w:r>
            <w:r>
              <w:rPr>
                <w:rFonts w:ascii="Times New Roman" w:hAnsi="仿宋" w:eastAsia="仿宋"/>
                <w:color w:val="000000"/>
                <w:kern w:val="0"/>
                <w:szCs w:val="21"/>
              </w:rPr>
              <w:t>根据评分标准，得</w:t>
            </w:r>
            <w:r>
              <w:rPr>
                <w:rFonts w:hint="eastAsia" w:ascii="Times New Roman" w:hAnsi="仿宋" w:eastAsia="仿宋"/>
                <w:color w:val="000000"/>
                <w:kern w:val="0"/>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23A8E">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w:t>
            </w:r>
          </w:p>
        </w:tc>
      </w:tr>
      <w:tr w14:paraId="12228037">
        <w:tblPrEx>
          <w:tblCellMar>
            <w:top w:w="0" w:type="dxa"/>
            <w:left w:w="108" w:type="dxa"/>
            <w:bottom w:w="0" w:type="dxa"/>
            <w:right w:w="108" w:type="dxa"/>
          </w:tblCellMar>
        </w:tblPrEx>
        <w:trPr>
          <w:trHeight w:val="926"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16FB41C5">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597D1AF9">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AA6C8">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B27</w:t>
            </w:r>
            <w:r>
              <w:rPr>
                <w:rFonts w:ascii="Times New Roman" w:hAnsi="仿宋" w:eastAsia="仿宋"/>
                <w:color w:val="000000"/>
                <w:kern w:val="0"/>
                <w:szCs w:val="21"/>
              </w:rPr>
              <w:t>人事管理制度健全性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6904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732D3">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健全</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85114">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是否有人事管理办法等制度</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5FA99">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有人事管理等相关制度，有得2分；没有，不得分。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08DD">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健全</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8B6D0">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按照主管部门人事管理制度执行，</w:t>
            </w:r>
            <w:r>
              <w:rPr>
                <w:rFonts w:hint="eastAsia" w:ascii="Times New Roman" w:hAnsi="仿宋" w:eastAsia="仿宋"/>
                <w:color w:val="000000"/>
                <w:kern w:val="0"/>
                <w:szCs w:val="21"/>
              </w:rPr>
              <w:t>在2024年更新了</w:t>
            </w:r>
            <w:r>
              <w:rPr>
                <w:rFonts w:ascii="Times New Roman" w:hAnsi="仿宋" w:eastAsia="仿宋"/>
                <w:color w:val="000000"/>
                <w:kern w:val="0"/>
                <w:szCs w:val="21"/>
              </w:rPr>
              <w:t>《奖励性绩效工资考核分配方案》、《南京市人才服务中心绩效考核管理办法》、《南京市人才服务中心考勤管理办法》</w:t>
            </w:r>
            <w:r>
              <w:rPr>
                <w:rFonts w:hint="eastAsia" w:ascii="Times New Roman" w:hAnsi="仿宋" w:eastAsia="仿宋"/>
                <w:color w:val="000000"/>
                <w:kern w:val="0"/>
                <w:szCs w:val="21"/>
              </w:rPr>
              <w:t>、《人才中心编外辅助人员管理办法》</w:t>
            </w:r>
            <w:r>
              <w:rPr>
                <w:rFonts w:ascii="Times New Roman" w:hAnsi="仿宋" w:eastAsia="仿宋"/>
                <w:color w:val="000000"/>
                <w:kern w:val="0"/>
                <w:szCs w:val="21"/>
              </w:rPr>
              <w:t>等人事管理相关制度，根据评分标准，得2分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2972C">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3A395851">
        <w:tblPrEx>
          <w:tblCellMar>
            <w:top w:w="0" w:type="dxa"/>
            <w:left w:w="108" w:type="dxa"/>
            <w:bottom w:w="0" w:type="dxa"/>
            <w:right w:w="108" w:type="dxa"/>
          </w:tblCellMar>
        </w:tblPrEx>
        <w:trPr>
          <w:trHeight w:val="150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7EC493AA">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71487030">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EECD7">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B28</w:t>
            </w:r>
            <w:r>
              <w:rPr>
                <w:rFonts w:ascii="Times New Roman" w:hAnsi="仿宋" w:eastAsia="仿宋"/>
                <w:color w:val="000000"/>
                <w:kern w:val="0"/>
                <w:szCs w:val="21"/>
              </w:rPr>
              <w:t>财政供养人员控制率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97370">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D97D4">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1BDC2">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财政供养人员控制率</w:t>
            </w:r>
            <w:r>
              <w:rPr>
                <w:rStyle w:val="7"/>
                <w:rFonts w:eastAsia="仿宋"/>
                <w:sz w:val="21"/>
                <w:szCs w:val="21"/>
              </w:rPr>
              <w:t>=</w:t>
            </w:r>
            <w:r>
              <w:rPr>
                <w:rFonts w:ascii="Times New Roman" w:hAnsi="仿宋" w:eastAsia="仿宋"/>
                <w:color w:val="000000"/>
                <w:kern w:val="0"/>
                <w:szCs w:val="21"/>
              </w:rPr>
              <w:t>（财政全额拨款供养在职人员数</w:t>
            </w:r>
            <w:r>
              <w:rPr>
                <w:rStyle w:val="7"/>
                <w:rFonts w:eastAsia="仿宋"/>
                <w:sz w:val="21"/>
                <w:szCs w:val="21"/>
              </w:rPr>
              <w:t>/</w:t>
            </w:r>
            <w:r>
              <w:rPr>
                <w:rFonts w:ascii="Times New Roman" w:hAnsi="仿宋" w:eastAsia="仿宋"/>
                <w:color w:val="000000"/>
                <w:kern w:val="0"/>
                <w:szCs w:val="21"/>
              </w:rPr>
              <w:t>编制数）</w:t>
            </w:r>
            <w:r>
              <w:rPr>
                <w:rStyle w:val="7"/>
                <w:rFonts w:eastAsia="仿宋"/>
                <w:sz w:val="21"/>
                <w:szCs w:val="21"/>
              </w:rPr>
              <w:t>*100%</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08521">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①财政供养人员控制率</w:t>
            </w:r>
            <w:r>
              <w:rPr>
                <w:rFonts w:ascii="Times New Roman" w:hAnsi="Times New Roman" w:eastAsia="仿宋"/>
                <w:color w:val="000000"/>
                <w:kern w:val="0"/>
                <w:szCs w:val="21"/>
              </w:rPr>
              <w:t>≤</w:t>
            </w:r>
            <w:r>
              <w:rPr>
                <w:rStyle w:val="7"/>
                <w:rFonts w:eastAsia="仿宋"/>
                <w:sz w:val="21"/>
                <w:szCs w:val="21"/>
              </w:rPr>
              <w:t>100%</w:t>
            </w:r>
            <w:r>
              <w:rPr>
                <w:rFonts w:ascii="Times New Roman" w:hAnsi="仿宋" w:eastAsia="仿宋"/>
                <w:color w:val="000000"/>
                <w:kern w:val="0"/>
                <w:szCs w:val="21"/>
              </w:rPr>
              <w:t>，得</w:t>
            </w:r>
            <w:r>
              <w:rPr>
                <w:rFonts w:ascii="Times New Roman" w:hAnsi="Times New Roman" w:eastAsia="仿宋"/>
                <w:color w:val="000000"/>
                <w:kern w:val="0"/>
                <w:szCs w:val="21"/>
              </w:rPr>
              <w:t>1</w:t>
            </w:r>
            <w:r>
              <w:rPr>
                <w:rFonts w:ascii="Times New Roman" w:hAnsi="仿宋" w:eastAsia="仿宋"/>
                <w:color w:val="000000"/>
                <w:kern w:val="0"/>
                <w:szCs w:val="21"/>
              </w:rPr>
              <w:t>分；②财政供养人员控制率</w:t>
            </w:r>
            <w:r>
              <w:rPr>
                <w:rStyle w:val="7"/>
                <w:rFonts w:eastAsia="仿宋"/>
                <w:sz w:val="21"/>
                <w:szCs w:val="21"/>
              </w:rPr>
              <w:t>&gt;100%</w:t>
            </w:r>
            <w:r>
              <w:rPr>
                <w:rFonts w:ascii="Times New Roman" w:hAnsi="仿宋" w:eastAsia="仿宋"/>
                <w:color w:val="000000"/>
                <w:kern w:val="0"/>
                <w:szCs w:val="21"/>
              </w:rPr>
              <w:t>，不得分。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1FCDD">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ED4D8">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截至</w:t>
            </w:r>
            <w:r>
              <w:rPr>
                <w:rStyle w:val="7"/>
                <w:rFonts w:eastAsia="仿宋"/>
                <w:sz w:val="21"/>
                <w:szCs w:val="21"/>
              </w:rPr>
              <w:t>202</w:t>
            </w:r>
            <w:r>
              <w:rPr>
                <w:rStyle w:val="7"/>
                <w:rFonts w:hint="eastAsia" w:eastAsia="仿宋"/>
                <w:sz w:val="21"/>
                <w:szCs w:val="21"/>
              </w:rPr>
              <w:t>4</w:t>
            </w:r>
            <w:r>
              <w:rPr>
                <w:rFonts w:ascii="Times New Roman" w:hAnsi="仿宋" w:eastAsia="仿宋"/>
                <w:color w:val="000000"/>
                <w:kern w:val="0"/>
                <w:szCs w:val="21"/>
              </w:rPr>
              <w:t>年</w:t>
            </w:r>
            <w:r>
              <w:rPr>
                <w:rStyle w:val="7"/>
                <w:rFonts w:eastAsia="仿宋"/>
                <w:sz w:val="21"/>
                <w:szCs w:val="21"/>
              </w:rPr>
              <w:t>12</w:t>
            </w:r>
            <w:r>
              <w:rPr>
                <w:rFonts w:ascii="Times New Roman" w:hAnsi="仿宋" w:eastAsia="仿宋"/>
                <w:color w:val="000000"/>
                <w:kern w:val="0"/>
                <w:szCs w:val="21"/>
              </w:rPr>
              <w:t>月底，在编在岗人员</w:t>
            </w:r>
            <w:r>
              <w:rPr>
                <w:rFonts w:ascii="Times New Roman" w:hAnsi="Times New Roman" w:eastAsia="仿宋"/>
                <w:color w:val="000000"/>
                <w:kern w:val="0"/>
                <w:szCs w:val="21"/>
              </w:rPr>
              <w:t>4</w:t>
            </w:r>
            <w:r>
              <w:rPr>
                <w:rFonts w:hint="eastAsia" w:ascii="Times New Roman" w:hAnsi="Times New Roman" w:eastAsia="仿宋"/>
                <w:color w:val="000000"/>
                <w:kern w:val="0"/>
                <w:szCs w:val="21"/>
              </w:rPr>
              <w:t>6</w:t>
            </w:r>
            <w:r>
              <w:rPr>
                <w:rFonts w:ascii="Times New Roman" w:hAnsi="仿宋" w:eastAsia="仿宋"/>
                <w:color w:val="000000"/>
                <w:kern w:val="0"/>
                <w:szCs w:val="21"/>
              </w:rPr>
              <w:t>人，编制数</w:t>
            </w:r>
            <w:r>
              <w:rPr>
                <w:rFonts w:ascii="Times New Roman" w:hAnsi="Times New Roman" w:eastAsia="仿宋"/>
                <w:color w:val="000000"/>
                <w:kern w:val="0"/>
                <w:szCs w:val="21"/>
              </w:rPr>
              <w:t>49</w:t>
            </w:r>
            <w:r>
              <w:rPr>
                <w:rFonts w:ascii="Times New Roman" w:hAnsi="仿宋" w:eastAsia="仿宋"/>
                <w:color w:val="000000"/>
                <w:kern w:val="0"/>
                <w:szCs w:val="21"/>
              </w:rPr>
              <w:t>人，财政供养人员控制率</w:t>
            </w:r>
            <w:r>
              <w:rPr>
                <w:rStyle w:val="7"/>
                <w:rFonts w:eastAsia="仿宋"/>
                <w:sz w:val="21"/>
                <w:szCs w:val="21"/>
              </w:rPr>
              <w:t>=</w:t>
            </w:r>
            <w:r>
              <w:rPr>
                <w:rFonts w:ascii="Times New Roman" w:hAnsi="仿宋" w:eastAsia="仿宋"/>
                <w:color w:val="000000"/>
                <w:kern w:val="0"/>
                <w:szCs w:val="21"/>
              </w:rPr>
              <w:t>（</w:t>
            </w:r>
            <w:r>
              <w:rPr>
                <w:rFonts w:ascii="Times New Roman" w:hAnsi="Times New Roman" w:eastAsia="仿宋"/>
                <w:color w:val="000000"/>
                <w:kern w:val="0"/>
                <w:szCs w:val="21"/>
              </w:rPr>
              <w:t>4</w:t>
            </w:r>
            <w:r>
              <w:rPr>
                <w:rFonts w:hint="eastAsia" w:ascii="Times New Roman" w:hAnsi="Times New Roman" w:eastAsia="仿宋"/>
                <w:color w:val="000000"/>
                <w:kern w:val="0"/>
                <w:szCs w:val="21"/>
              </w:rPr>
              <w:t>6</w:t>
            </w:r>
            <w:r>
              <w:rPr>
                <w:rStyle w:val="7"/>
                <w:rFonts w:eastAsia="仿宋"/>
                <w:sz w:val="21"/>
                <w:szCs w:val="21"/>
              </w:rPr>
              <w:t>/49</w:t>
            </w:r>
            <w:r>
              <w:rPr>
                <w:rStyle w:val="7"/>
                <w:rFonts w:hint="eastAsia" w:eastAsia="仿宋"/>
                <w:sz w:val="21"/>
                <w:szCs w:val="21"/>
              </w:rPr>
              <w:t>）</w:t>
            </w:r>
            <w:r>
              <w:rPr>
                <w:rStyle w:val="7"/>
                <w:rFonts w:eastAsia="仿宋"/>
                <w:sz w:val="21"/>
                <w:szCs w:val="21"/>
              </w:rPr>
              <w:t>*100%=</w:t>
            </w:r>
            <w:r>
              <w:rPr>
                <w:rStyle w:val="7"/>
                <w:rFonts w:hint="eastAsia" w:eastAsia="仿宋"/>
                <w:sz w:val="21"/>
                <w:szCs w:val="21"/>
              </w:rPr>
              <w:t>93.88</w:t>
            </w:r>
            <w:r>
              <w:rPr>
                <w:rStyle w:val="7"/>
                <w:rFonts w:eastAsia="仿宋"/>
                <w:sz w:val="21"/>
                <w:szCs w:val="21"/>
              </w:rPr>
              <w:t>%</w:t>
            </w:r>
            <w:r>
              <w:rPr>
                <w:rFonts w:ascii="Times New Roman" w:hAnsi="仿宋" w:eastAsia="仿宋"/>
                <w:color w:val="000000"/>
                <w:kern w:val="0"/>
                <w:szCs w:val="21"/>
              </w:rPr>
              <w:t>，得满分。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87C35">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r>
      <w:tr w14:paraId="74B2C4B2">
        <w:tblPrEx>
          <w:tblCellMar>
            <w:top w:w="0" w:type="dxa"/>
            <w:left w:w="108" w:type="dxa"/>
            <w:bottom w:w="0" w:type="dxa"/>
            <w:right w:w="108" w:type="dxa"/>
          </w:tblCellMar>
        </w:tblPrEx>
        <w:trPr>
          <w:trHeight w:val="178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7AA6C728">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6CE16DC3">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11469">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B29</w:t>
            </w:r>
            <w:r>
              <w:rPr>
                <w:rFonts w:ascii="Times New Roman" w:hAnsi="仿宋" w:eastAsia="仿宋"/>
                <w:color w:val="000000"/>
                <w:kern w:val="0"/>
                <w:szCs w:val="21"/>
              </w:rPr>
              <w:t>内控制度完备性</w:t>
            </w:r>
          </w:p>
        </w:tc>
        <w:tc>
          <w:tcPr>
            <w:tcW w:w="682" w:type="dxa"/>
            <w:tcBorders>
              <w:top w:val="single" w:color="000000" w:sz="4" w:space="0"/>
              <w:left w:val="single" w:color="000000" w:sz="4" w:space="0"/>
              <w:bottom w:val="single" w:color="000000" w:sz="4" w:space="0"/>
              <w:right w:val="nil"/>
            </w:tcBorders>
            <w:shd w:val="clear" w:color="auto" w:fill="auto"/>
            <w:noWrap/>
            <w:vAlign w:val="center"/>
          </w:tcPr>
          <w:p w14:paraId="3AC3EC09">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AD369">
            <w:pPr>
              <w:widowControl/>
              <w:spacing w:line="280" w:lineRule="exact"/>
              <w:jc w:val="left"/>
              <w:textAlignment w:val="center"/>
              <w:rPr>
                <w:rFonts w:ascii="Times New Roman" w:hAnsi="Times New Roman" w:eastAsia="等线"/>
                <w:color w:val="000000"/>
                <w:szCs w:val="21"/>
              </w:rPr>
            </w:pPr>
            <w:r>
              <w:rPr>
                <w:rFonts w:ascii="Times New Roman" w:hAnsi="Times New Roman" w:eastAsia="等线"/>
                <w:color w:val="000000"/>
                <w:kern w:val="0"/>
                <w:szCs w:val="21"/>
              </w:rPr>
              <w:t>2</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DF31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是否制定相关内部环境、风险评估、控制活动、信息和交流以及监控为主要模块的内控体系</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AAA3F">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已建立以内控环境、风险评估、控制活动、信息和交流以及监控为主要模块的内控体系，得</w:t>
            </w:r>
            <w:r>
              <w:rPr>
                <w:rFonts w:ascii="Times New Roman" w:hAnsi="Times New Roman" w:eastAsia="仿宋"/>
                <w:color w:val="000000"/>
                <w:kern w:val="0"/>
                <w:szCs w:val="21"/>
              </w:rPr>
              <w:t xml:space="preserve"> 1 </w:t>
            </w:r>
            <w:r>
              <w:rPr>
                <w:rFonts w:ascii="Times New Roman" w:hAnsi="仿宋" w:eastAsia="仿宋"/>
                <w:color w:val="000000"/>
                <w:kern w:val="0"/>
                <w:szCs w:val="21"/>
              </w:rPr>
              <w:t>分；每缺失一个模块扣除</w:t>
            </w:r>
            <w:r>
              <w:rPr>
                <w:rFonts w:ascii="Times New Roman" w:hAnsi="Times New Roman" w:eastAsia="仿宋"/>
                <w:color w:val="000000"/>
                <w:kern w:val="0"/>
                <w:szCs w:val="21"/>
              </w:rPr>
              <w:t xml:space="preserve"> 0.2 </w:t>
            </w:r>
            <w:r>
              <w:rPr>
                <w:rFonts w:ascii="Times New Roman" w:hAnsi="仿宋" w:eastAsia="仿宋"/>
                <w:color w:val="000000"/>
                <w:kern w:val="0"/>
                <w:szCs w:val="21"/>
              </w:rPr>
              <w:t>分，扣完为止</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3402A">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4780F">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人才中心</w:t>
            </w:r>
            <w:r>
              <w:rPr>
                <w:rFonts w:hint="eastAsia" w:ascii="Times New Roman" w:hAnsi="仿宋" w:eastAsia="仿宋"/>
                <w:color w:val="000000"/>
                <w:kern w:val="0"/>
                <w:szCs w:val="21"/>
              </w:rPr>
              <w:t>已</w:t>
            </w:r>
            <w:r>
              <w:rPr>
                <w:rFonts w:ascii="Times New Roman" w:hAnsi="仿宋" w:eastAsia="仿宋"/>
                <w:color w:val="000000"/>
                <w:kern w:val="0"/>
                <w:szCs w:val="21"/>
              </w:rPr>
              <w:t>建立包括内控环境、风险识别、风险评估、控制活动等模块在内的内控制度</w:t>
            </w:r>
            <w:r>
              <w:rPr>
                <w:rFonts w:hint="eastAsia" w:ascii="Times New Roman" w:hAnsi="仿宋" w:eastAsia="仿宋"/>
                <w:color w:val="000000"/>
                <w:kern w:val="0"/>
                <w:szCs w:val="21"/>
              </w:rPr>
              <w:t>，</w:t>
            </w:r>
            <w:r>
              <w:rPr>
                <w:rFonts w:ascii="Times New Roman" w:hAnsi="仿宋" w:eastAsia="仿宋"/>
                <w:color w:val="000000"/>
                <w:kern w:val="0"/>
                <w:szCs w:val="21"/>
              </w:rPr>
              <w:t>根据评分标准得</w:t>
            </w:r>
            <w:r>
              <w:rPr>
                <w:rFonts w:hint="eastAsia" w:ascii="Times New Roman" w:hAnsi="仿宋" w:eastAsia="仿宋"/>
                <w:color w:val="000000"/>
                <w:kern w:val="0"/>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DFE82">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w:t>
            </w:r>
          </w:p>
        </w:tc>
      </w:tr>
      <w:tr w14:paraId="1BE14B6F">
        <w:tblPrEx>
          <w:tblCellMar>
            <w:top w:w="0" w:type="dxa"/>
            <w:left w:w="108" w:type="dxa"/>
            <w:bottom w:w="0" w:type="dxa"/>
            <w:right w:w="108" w:type="dxa"/>
          </w:tblCellMar>
        </w:tblPrEx>
        <w:trPr>
          <w:trHeight w:val="178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2CA3A667">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5CE6B8EC">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87FE1">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B230</w:t>
            </w:r>
            <w:r>
              <w:rPr>
                <w:rFonts w:ascii="Times New Roman" w:hAnsi="仿宋" w:eastAsia="仿宋"/>
                <w:color w:val="000000"/>
                <w:kern w:val="0"/>
                <w:szCs w:val="21"/>
              </w:rPr>
              <w:t>内控制度遵从度</w:t>
            </w:r>
          </w:p>
        </w:tc>
        <w:tc>
          <w:tcPr>
            <w:tcW w:w="682" w:type="dxa"/>
            <w:tcBorders>
              <w:top w:val="single" w:color="000000" w:sz="4" w:space="0"/>
              <w:left w:val="single" w:color="000000" w:sz="4" w:space="0"/>
              <w:bottom w:val="single" w:color="000000" w:sz="4" w:space="0"/>
              <w:right w:val="nil"/>
            </w:tcBorders>
            <w:shd w:val="clear" w:color="auto" w:fill="auto"/>
            <w:noWrap/>
            <w:vAlign w:val="center"/>
          </w:tcPr>
          <w:p w14:paraId="62D4CE56">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D623A">
            <w:pPr>
              <w:widowControl/>
              <w:spacing w:line="280" w:lineRule="exact"/>
              <w:jc w:val="left"/>
              <w:textAlignment w:val="center"/>
              <w:rPr>
                <w:rFonts w:ascii="Times New Roman" w:hAnsi="Times New Roman" w:eastAsia="等线"/>
                <w:color w:val="000000"/>
                <w:szCs w:val="21"/>
              </w:rPr>
            </w:pPr>
            <w:r>
              <w:rPr>
                <w:rFonts w:ascii="Times New Roman" w:hAnsi="Times New Roman" w:eastAsia="等线"/>
                <w:color w:val="000000"/>
                <w:kern w:val="0"/>
                <w:szCs w:val="21"/>
              </w:rPr>
              <w:t>2</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F1140">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部门的日常管理、预算管理、收支管理、资产管理、采购管理等业务模块是否严格遵守内控制度执行</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4F69B">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部门的日常管理、预算管理、收支管理、资产管理、采购管理等业务模块严格遵守内控制度执行，得</w:t>
            </w:r>
            <w:r>
              <w:rPr>
                <w:rFonts w:ascii="Times New Roman" w:hAnsi="Times New Roman" w:eastAsia="仿宋"/>
                <w:color w:val="000000"/>
                <w:kern w:val="0"/>
                <w:szCs w:val="21"/>
              </w:rPr>
              <w:t xml:space="preserve"> 1</w:t>
            </w:r>
            <w:r>
              <w:rPr>
                <w:rFonts w:ascii="Times New Roman" w:hAnsi="仿宋" w:eastAsia="仿宋"/>
                <w:color w:val="000000"/>
                <w:kern w:val="0"/>
                <w:szCs w:val="21"/>
              </w:rPr>
              <w:t>分；每缺失一项扣除</w:t>
            </w:r>
            <w:r>
              <w:rPr>
                <w:rFonts w:ascii="Times New Roman" w:hAnsi="Times New Roman" w:eastAsia="仿宋"/>
                <w:color w:val="000000"/>
                <w:kern w:val="0"/>
                <w:szCs w:val="21"/>
              </w:rPr>
              <w:t xml:space="preserve"> 0.2 </w:t>
            </w:r>
            <w:r>
              <w:rPr>
                <w:rFonts w:ascii="Times New Roman" w:hAnsi="仿宋" w:eastAsia="仿宋"/>
                <w:color w:val="000000"/>
                <w:kern w:val="0"/>
                <w:szCs w:val="21"/>
              </w:rPr>
              <w:t>分，扣完为止</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50053">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788BD">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能形成内控制度，</w:t>
            </w:r>
            <w:r>
              <w:rPr>
                <w:rFonts w:hint="eastAsia" w:ascii="Times New Roman" w:hAnsi="仿宋" w:eastAsia="仿宋"/>
                <w:color w:val="000000"/>
                <w:kern w:val="0"/>
                <w:szCs w:val="21"/>
              </w:rPr>
              <w:t>并能</w:t>
            </w:r>
            <w:r>
              <w:rPr>
                <w:rFonts w:ascii="Times New Roman" w:hAnsi="仿宋" w:eastAsia="仿宋"/>
                <w:color w:val="000000"/>
                <w:kern w:val="0"/>
                <w:szCs w:val="21"/>
              </w:rPr>
              <w:t>按照内控制度进行各模块的业务活动</w:t>
            </w:r>
            <w:r>
              <w:rPr>
                <w:rFonts w:hint="eastAsia" w:ascii="Times New Roman" w:hAnsi="仿宋" w:eastAsia="仿宋"/>
                <w:color w:val="000000"/>
                <w:kern w:val="0"/>
                <w:szCs w:val="21"/>
              </w:rPr>
              <w:t>，</w:t>
            </w:r>
            <w:r>
              <w:rPr>
                <w:rFonts w:ascii="Times New Roman" w:hAnsi="仿宋" w:eastAsia="仿宋"/>
                <w:color w:val="000000"/>
                <w:kern w:val="0"/>
                <w:szCs w:val="21"/>
              </w:rPr>
              <w:t xml:space="preserve">得 </w:t>
            </w:r>
            <w:r>
              <w:rPr>
                <w:rFonts w:hint="eastAsia" w:ascii="Times New Roman" w:hAnsi="仿宋" w:eastAsia="仿宋"/>
                <w:color w:val="000000"/>
                <w:kern w:val="0"/>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82925">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w:t>
            </w:r>
          </w:p>
        </w:tc>
      </w:tr>
      <w:tr w14:paraId="100E8EB1">
        <w:tblPrEx>
          <w:tblCellMar>
            <w:top w:w="0" w:type="dxa"/>
            <w:left w:w="108" w:type="dxa"/>
            <w:bottom w:w="0" w:type="dxa"/>
            <w:right w:w="108" w:type="dxa"/>
          </w:tblCellMar>
        </w:tblPrEx>
        <w:trPr>
          <w:trHeight w:val="890" w:hRule="atLeast"/>
        </w:trPr>
        <w:tc>
          <w:tcPr>
            <w:tcW w:w="750" w:type="dxa"/>
            <w:vMerge w:val="continue"/>
            <w:tcBorders>
              <w:top w:val="single" w:color="000000" w:sz="4" w:space="0"/>
              <w:left w:val="single" w:color="000000" w:sz="4" w:space="0"/>
              <w:bottom w:val="nil"/>
              <w:right w:val="single" w:color="000000" w:sz="4" w:space="0"/>
            </w:tcBorders>
            <w:shd w:val="clear" w:color="auto" w:fill="FFFFFF"/>
            <w:vAlign w:val="center"/>
          </w:tcPr>
          <w:p w14:paraId="33E90CE1">
            <w:pPr>
              <w:spacing w:line="280" w:lineRule="exact"/>
              <w:jc w:val="center"/>
              <w:rPr>
                <w:rFonts w:ascii="Times New Roman" w:hAnsi="Times New Roman" w:eastAsia="仿宋"/>
                <w:b/>
                <w:bCs/>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FFFFFF"/>
            <w:vAlign w:val="center"/>
          </w:tcPr>
          <w:p w14:paraId="2026D428">
            <w:pPr>
              <w:spacing w:line="280" w:lineRule="exact"/>
              <w:jc w:val="center"/>
              <w:rPr>
                <w:rFonts w:ascii="Times New Roman" w:hAnsi="Times New Roman" w:eastAsia="仿宋"/>
                <w:b/>
                <w:bCs/>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9C9BC">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B231</w:t>
            </w:r>
            <w:r>
              <w:rPr>
                <w:rFonts w:ascii="Times New Roman" w:hAnsi="仿宋" w:eastAsia="仿宋"/>
                <w:color w:val="000000"/>
                <w:kern w:val="0"/>
                <w:szCs w:val="21"/>
              </w:rPr>
              <w:t>预算绩效管理制度健全性</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B6B3">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6FA2A">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健全</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B598C">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是否单独制定绩效管理制度</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37F61">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有绩效管理等相关制度，有得2分；没有，不得分。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F4C12">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健全</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255F8">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按照财政部门绩效管理制度执行</w:t>
            </w:r>
            <w:r>
              <w:rPr>
                <w:rFonts w:hint="eastAsia" w:ascii="Times New Roman" w:hAnsi="仿宋" w:eastAsia="仿宋"/>
                <w:color w:val="000000"/>
                <w:kern w:val="0"/>
                <w:szCs w:val="21"/>
              </w:rPr>
              <w:t>,</w:t>
            </w:r>
            <w:r>
              <w:rPr>
                <w:rFonts w:ascii="Times New Roman" w:hAnsi="仿宋" w:eastAsia="仿宋"/>
                <w:color w:val="000000"/>
                <w:kern w:val="0"/>
                <w:szCs w:val="21"/>
              </w:rPr>
              <w:t>得</w:t>
            </w:r>
            <w:r>
              <w:rPr>
                <w:rFonts w:hint="eastAsia" w:ascii="Times New Roman" w:hAnsi="Times New Roman" w:eastAsia="仿宋"/>
                <w:color w:val="000000"/>
                <w:kern w:val="0"/>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50389">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w:t>
            </w:r>
          </w:p>
        </w:tc>
      </w:tr>
      <w:tr w14:paraId="0BFC1029">
        <w:tblPrEx>
          <w:tblCellMar>
            <w:top w:w="0" w:type="dxa"/>
            <w:left w:w="108" w:type="dxa"/>
            <w:bottom w:w="0" w:type="dxa"/>
            <w:right w:w="108" w:type="dxa"/>
          </w:tblCellMar>
        </w:tblPrEx>
        <w:trPr>
          <w:trHeight w:val="1605" w:hRule="atLeast"/>
        </w:trPr>
        <w:tc>
          <w:tcPr>
            <w:tcW w:w="750" w:type="dxa"/>
            <w:tcBorders>
              <w:top w:val="nil"/>
              <w:left w:val="single" w:color="000000" w:sz="4" w:space="0"/>
              <w:bottom w:val="nil"/>
              <w:right w:val="single" w:color="000000" w:sz="4" w:space="0"/>
            </w:tcBorders>
            <w:shd w:val="clear" w:color="auto" w:fill="FFFFFF"/>
            <w:vAlign w:val="center"/>
          </w:tcPr>
          <w:p w14:paraId="28B2B25F">
            <w:pPr>
              <w:spacing w:line="280" w:lineRule="exact"/>
              <w:jc w:val="center"/>
              <w:rPr>
                <w:rFonts w:ascii="Times New Roman" w:hAnsi="Times New Roman" w:eastAsia="仿宋"/>
                <w:color w:val="000000"/>
                <w:szCs w:val="21"/>
              </w:rPr>
            </w:pPr>
          </w:p>
        </w:tc>
        <w:tc>
          <w:tcPr>
            <w:tcW w:w="859" w:type="dxa"/>
            <w:tcBorders>
              <w:top w:val="nil"/>
              <w:left w:val="single" w:color="000000" w:sz="4" w:space="0"/>
              <w:bottom w:val="nil"/>
              <w:right w:val="single" w:color="000000" w:sz="4" w:space="0"/>
            </w:tcBorders>
            <w:shd w:val="clear" w:color="auto" w:fill="FFFFFF"/>
            <w:vAlign w:val="center"/>
          </w:tcPr>
          <w:p w14:paraId="76FACD93">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02BDC">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B232</w:t>
            </w:r>
            <w:r>
              <w:rPr>
                <w:rFonts w:ascii="Times New Roman" w:hAnsi="仿宋" w:eastAsia="仿宋"/>
                <w:color w:val="000000"/>
                <w:kern w:val="0"/>
                <w:szCs w:val="21"/>
              </w:rPr>
              <w:t>预算绩效管理开展情况</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A6F2D">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1C785">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积极</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E5506">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是否进行事前评估、目标管理、跟踪评价、自评价，绩效管理是否科学合理</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628D3">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进行事前评估、目标管理、跟踪评价、自评价，得1分</w:t>
            </w:r>
            <w:r>
              <w:rPr>
                <w:rFonts w:hint="eastAsia" w:ascii="Times New Roman" w:hAnsi="仿宋" w:eastAsia="仿宋"/>
                <w:color w:val="000000"/>
                <w:kern w:val="0"/>
                <w:szCs w:val="21"/>
              </w:rPr>
              <w:t>，未落实一项扣0.25分</w:t>
            </w:r>
            <w:r>
              <w:rPr>
                <w:rFonts w:ascii="Times New Roman" w:hAnsi="仿宋" w:eastAsia="仿宋"/>
                <w:color w:val="000000"/>
                <w:kern w:val="0"/>
                <w:szCs w:val="21"/>
              </w:rPr>
              <w:t>；绩效目标与评价公开，得1分</w:t>
            </w:r>
            <w:r>
              <w:rPr>
                <w:rFonts w:hint="eastAsia" w:ascii="Times New Roman" w:hAnsi="仿宋" w:eastAsia="仿宋"/>
                <w:color w:val="000000"/>
                <w:kern w:val="0"/>
                <w:szCs w:val="21"/>
              </w:rPr>
              <w:t>，未及时按要求公开，得0分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7C8EF">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积极</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AEE17">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落实事前评估、目标管理、跟踪评价、自评价，绩效目标与评价公开</w:t>
            </w:r>
            <w:r>
              <w:rPr>
                <w:rFonts w:hint="eastAsia" w:ascii="Times New Roman" w:hAnsi="仿宋" w:eastAsia="仿宋"/>
                <w:color w:val="000000"/>
                <w:kern w:val="0"/>
                <w:szCs w:val="21"/>
              </w:rPr>
              <w:t>，完成工作任务，</w:t>
            </w:r>
            <w:r>
              <w:rPr>
                <w:rFonts w:ascii="Times New Roman" w:hAnsi="仿宋" w:eastAsia="仿宋"/>
                <w:color w:val="000000"/>
                <w:kern w:val="0"/>
                <w:szCs w:val="21"/>
              </w:rPr>
              <w:t>得</w:t>
            </w:r>
            <w:r>
              <w:rPr>
                <w:rFonts w:hint="eastAsia" w:ascii="Times New Roman" w:hAnsi="Times New Roman" w:eastAsia="仿宋"/>
                <w:color w:val="000000"/>
                <w:kern w:val="0"/>
                <w:szCs w:val="21"/>
              </w:rPr>
              <w:t>满分</w:t>
            </w:r>
            <w:r>
              <w:rPr>
                <w:rFonts w:ascii="Times New Roman" w:hAnsi="仿宋" w:eastAsia="仿宋"/>
                <w:color w:val="000000"/>
                <w:kern w:val="0"/>
                <w:szCs w:val="21"/>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00D9A">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w:t>
            </w:r>
          </w:p>
        </w:tc>
      </w:tr>
      <w:tr w14:paraId="1324F20B">
        <w:tblPrEx>
          <w:tblCellMar>
            <w:top w:w="0" w:type="dxa"/>
            <w:left w:w="108" w:type="dxa"/>
            <w:bottom w:w="0" w:type="dxa"/>
            <w:right w:w="108" w:type="dxa"/>
          </w:tblCellMar>
        </w:tblPrEx>
        <w:trPr>
          <w:trHeight w:val="1600" w:hRule="atLeast"/>
        </w:trPr>
        <w:tc>
          <w:tcPr>
            <w:tcW w:w="750" w:type="dxa"/>
            <w:tcBorders>
              <w:top w:val="nil"/>
              <w:left w:val="single" w:color="000000" w:sz="4" w:space="0"/>
              <w:bottom w:val="nil"/>
              <w:right w:val="single" w:color="000000" w:sz="4" w:space="0"/>
            </w:tcBorders>
            <w:shd w:val="clear" w:color="auto" w:fill="FFFFFF"/>
            <w:vAlign w:val="center"/>
          </w:tcPr>
          <w:p w14:paraId="34BB2B53">
            <w:pPr>
              <w:spacing w:line="280" w:lineRule="exact"/>
              <w:jc w:val="center"/>
              <w:rPr>
                <w:rFonts w:ascii="Times New Roman" w:hAnsi="Times New Roman" w:eastAsia="仿宋"/>
                <w:color w:val="000000"/>
                <w:szCs w:val="21"/>
              </w:rPr>
            </w:pPr>
          </w:p>
        </w:tc>
        <w:tc>
          <w:tcPr>
            <w:tcW w:w="859" w:type="dxa"/>
            <w:tcBorders>
              <w:top w:val="nil"/>
              <w:left w:val="single" w:color="000000" w:sz="4" w:space="0"/>
              <w:bottom w:val="nil"/>
              <w:right w:val="single" w:color="000000" w:sz="4" w:space="0"/>
            </w:tcBorders>
            <w:shd w:val="clear" w:color="auto" w:fill="auto"/>
            <w:vAlign w:val="center"/>
          </w:tcPr>
          <w:p w14:paraId="4EFE65B9">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53E95">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B233</w:t>
            </w:r>
            <w:r>
              <w:rPr>
                <w:rFonts w:ascii="Times New Roman" w:hAnsi="仿宋" w:eastAsia="仿宋"/>
                <w:color w:val="000000"/>
                <w:kern w:val="0"/>
                <w:szCs w:val="21"/>
              </w:rPr>
              <w:t>预算绩效工作公开情况</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98294">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058FE">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透明</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9FCEC">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绩预算效目标与评价是否公开</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7BD2">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①按规定内容公开绩效信息，得</w:t>
            </w:r>
          </w:p>
          <w:p w14:paraId="5920EA73">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0.2 分；未公开，得 0 分；②按规定时限公开绩效信息，得 0.2 分；未按规定时限，得 0 分；③相关信息资料真实，得 0.2 分；不真实，得 0 分；④相关信息资料完整，得</w:t>
            </w:r>
          </w:p>
          <w:p w14:paraId="682C72F5">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0.2 分；不完整，得 0 分；⑤相关信息资料准确，得 0.2 分；不准确，得 0 分；本指标分值为上述 5 项各</w:t>
            </w:r>
          </w:p>
          <w:p w14:paraId="6FB70129">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自得分之和</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A9384">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公开</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85D47">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①人才中心在人社局官网对</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Times New Roman" w:eastAsia="仿宋"/>
                <w:color w:val="000000"/>
                <w:kern w:val="0"/>
                <w:szCs w:val="21"/>
              </w:rPr>
              <w:t xml:space="preserve"> </w:t>
            </w:r>
            <w:r>
              <w:rPr>
                <w:rFonts w:ascii="Times New Roman" w:hAnsi="仿宋" w:eastAsia="仿宋"/>
                <w:color w:val="000000"/>
                <w:kern w:val="0"/>
                <w:szCs w:val="21"/>
              </w:rPr>
              <w:t>年绩效目标信息进行了公布；②公布时限符合规定；③相关的信息资料真实；④公布的相关信息资料准确。根据评分标准，得</w:t>
            </w:r>
            <w:r>
              <w:rPr>
                <w:rFonts w:ascii="Times New Roman" w:hAnsi="Times New Roman" w:eastAsia="仿宋"/>
                <w:color w:val="000000"/>
                <w:kern w:val="0"/>
                <w:szCs w:val="21"/>
              </w:rPr>
              <w:t xml:space="preserve"> 1 </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27EEC">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w:t>
            </w:r>
          </w:p>
        </w:tc>
      </w:tr>
      <w:tr w14:paraId="35B25B22">
        <w:tblPrEx>
          <w:tblCellMar>
            <w:top w:w="0" w:type="dxa"/>
            <w:left w:w="108" w:type="dxa"/>
            <w:bottom w:w="0" w:type="dxa"/>
            <w:right w:w="108" w:type="dxa"/>
          </w:tblCellMar>
        </w:tblPrEx>
        <w:trPr>
          <w:trHeight w:val="1100" w:hRule="atLeast"/>
        </w:trPr>
        <w:tc>
          <w:tcPr>
            <w:tcW w:w="7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CEE4A22">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C</w:t>
            </w:r>
            <w:r>
              <w:rPr>
                <w:rFonts w:ascii="Times New Roman" w:hAnsi="仿宋" w:eastAsia="仿宋"/>
                <w:color w:val="000000"/>
                <w:kern w:val="0"/>
                <w:szCs w:val="21"/>
              </w:rPr>
              <w:t>部门重点履职</w:t>
            </w: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2CF7C4">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C</w:t>
            </w:r>
            <w:r>
              <w:rPr>
                <w:rFonts w:ascii="Times New Roman" w:hAnsi="Times New Roman" w:eastAsia="仿宋"/>
                <w:color w:val="000000"/>
                <w:kern w:val="0"/>
                <w:szCs w:val="21"/>
              </w:rPr>
              <w:t>1</w:t>
            </w:r>
            <w:r>
              <w:rPr>
                <w:rFonts w:ascii="Times New Roman" w:hAnsi="仿宋" w:eastAsia="仿宋"/>
                <w:color w:val="000000"/>
                <w:kern w:val="0"/>
                <w:szCs w:val="21"/>
              </w:rPr>
              <w:t>管理人事代理单位流动人员和毕业生人事档案</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E7D5A">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C11</w:t>
            </w:r>
            <w:r>
              <w:rPr>
                <w:rFonts w:ascii="Times New Roman" w:hAnsi="仿宋" w:eastAsia="仿宋"/>
                <w:color w:val="000000"/>
                <w:kern w:val="0"/>
                <w:szCs w:val="21"/>
              </w:rPr>
              <w:t>接收档案份数</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A1512">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1E584">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6000</w:t>
            </w:r>
            <w:r>
              <w:rPr>
                <w:rFonts w:ascii="Times New Roman" w:hAnsi="仿宋" w:eastAsia="仿宋"/>
                <w:color w:val="000000"/>
                <w:kern w:val="0"/>
                <w:szCs w:val="21"/>
              </w:rPr>
              <w:t>份</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D5AD6">
            <w:pPr>
              <w:widowControl/>
              <w:spacing w:line="280" w:lineRule="exact"/>
              <w:jc w:val="left"/>
              <w:textAlignment w:val="center"/>
              <w:rPr>
                <w:rFonts w:ascii="Times New Roman" w:hAnsi="仿宋" w:eastAsia="仿宋"/>
                <w:color w:val="000000"/>
                <w:kern w:val="0"/>
                <w:szCs w:val="21"/>
              </w:rPr>
            </w:pPr>
            <w:r>
              <w:rPr>
                <w:rFonts w:hint="eastAsia" w:ascii="Times New Roman" w:hAnsi="仿宋" w:eastAsia="仿宋"/>
                <w:color w:val="000000"/>
                <w:kern w:val="0"/>
                <w:szCs w:val="21"/>
              </w:rPr>
              <w:t>考查</w:t>
            </w:r>
            <w:r>
              <w:rPr>
                <w:rFonts w:ascii="Times New Roman" w:hAnsi="仿宋" w:eastAsia="仿宋"/>
                <w:color w:val="000000"/>
                <w:kern w:val="0"/>
                <w:szCs w:val="21"/>
              </w:rPr>
              <w:t>接收毕业生档案份数数量</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D7869">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全年完成接收毕业生档案份数≥</w:t>
            </w:r>
            <w:r>
              <w:rPr>
                <w:rFonts w:hint="eastAsia" w:ascii="Times New Roman" w:hAnsi="仿宋" w:eastAsia="仿宋"/>
                <w:color w:val="000000"/>
                <w:kern w:val="0"/>
                <w:szCs w:val="21"/>
              </w:rPr>
              <w:t>6000</w:t>
            </w:r>
            <w:r>
              <w:rPr>
                <w:rFonts w:ascii="Times New Roman" w:hAnsi="仿宋" w:eastAsia="仿宋"/>
                <w:color w:val="000000"/>
                <w:kern w:val="0"/>
                <w:szCs w:val="21"/>
              </w:rPr>
              <w:t>份,得3分；</w:t>
            </w:r>
            <w:r>
              <w:rPr>
                <w:rFonts w:hint="eastAsia" w:ascii="Times New Roman" w:hAnsi="仿宋" w:eastAsia="仿宋"/>
                <w:color w:val="000000"/>
                <w:kern w:val="0"/>
                <w:szCs w:val="21"/>
              </w:rPr>
              <w:t>根据情况酌情扣分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FBFCA">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今年接收毕业生档案</w:t>
            </w:r>
            <w:r>
              <w:rPr>
                <w:rFonts w:hint="eastAsia" w:ascii="Times New Roman" w:hAnsi="仿宋" w:eastAsia="仿宋"/>
                <w:color w:val="000000"/>
                <w:kern w:val="0"/>
                <w:szCs w:val="21"/>
              </w:rPr>
              <w:t>7432</w:t>
            </w:r>
            <w:r>
              <w:rPr>
                <w:rFonts w:ascii="Times New Roman" w:hAnsi="仿宋" w:eastAsia="仿宋"/>
                <w:color w:val="000000"/>
                <w:kern w:val="0"/>
                <w:szCs w:val="21"/>
              </w:rPr>
              <w:t>份</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522B1">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全年</w:t>
            </w:r>
            <w:r>
              <w:rPr>
                <w:rFonts w:ascii="Times New Roman" w:hAnsi="仿宋" w:eastAsia="仿宋"/>
                <w:color w:val="000000"/>
                <w:kern w:val="0"/>
                <w:szCs w:val="21"/>
              </w:rPr>
              <w:t>完成</w:t>
            </w:r>
            <w:r>
              <w:rPr>
                <w:rFonts w:hint="eastAsia" w:ascii="Times New Roman" w:hAnsi="仿宋" w:eastAsia="仿宋"/>
                <w:color w:val="000000"/>
                <w:kern w:val="0"/>
                <w:szCs w:val="21"/>
              </w:rPr>
              <w:t>档案接收7432份，达到目标，得分为3分。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835A3">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3</w:t>
            </w:r>
          </w:p>
        </w:tc>
      </w:tr>
      <w:tr w14:paraId="6EDB16C0">
        <w:tblPrEx>
          <w:tblCellMar>
            <w:top w:w="0" w:type="dxa"/>
            <w:left w:w="108" w:type="dxa"/>
            <w:bottom w:w="0" w:type="dxa"/>
            <w:right w:w="108" w:type="dxa"/>
          </w:tblCellMar>
        </w:tblPrEx>
        <w:trPr>
          <w:trHeight w:val="90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14A0BA">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8EE65">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2A370">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C12使用档案份数</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DB42">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6EE92">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23000</w:t>
            </w:r>
            <w:r>
              <w:rPr>
                <w:rFonts w:ascii="Times New Roman" w:hAnsi="仿宋" w:eastAsia="仿宋"/>
                <w:color w:val="000000"/>
                <w:kern w:val="0"/>
                <w:szCs w:val="21"/>
              </w:rPr>
              <w:t>份</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4E26B">
            <w:pPr>
              <w:widowControl/>
              <w:spacing w:line="280" w:lineRule="exact"/>
              <w:jc w:val="left"/>
              <w:textAlignment w:val="center"/>
              <w:rPr>
                <w:rFonts w:ascii="Times New Roman" w:hAnsi="仿宋" w:eastAsia="仿宋"/>
                <w:color w:val="000000"/>
                <w:kern w:val="0"/>
                <w:szCs w:val="21"/>
              </w:rPr>
            </w:pPr>
            <w:r>
              <w:rPr>
                <w:rFonts w:hint="eastAsia" w:ascii="Times New Roman" w:hAnsi="仿宋" w:eastAsia="仿宋"/>
                <w:color w:val="000000"/>
                <w:kern w:val="0"/>
                <w:szCs w:val="21"/>
              </w:rPr>
              <w:t>考查使用档案</w:t>
            </w:r>
            <w:r>
              <w:rPr>
                <w:rFonts w:ascii="Times New Roman" w:hAnsi="仿宋" w:eastAsia="仿宋"/>
                <w:color w:val="000000"/>
                <w:kern w:val="0"/>
                <w:szCs w:val="21"/>
              </w:rPr>
              <w:t>份数</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B9C3B">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使用档案份数</w:t>
            </w:r>
            <w:r>
              <w:rPr>
                <w:rFonts w:ascii="Times New Roman" w:hAnsi="仿宋" w:eastAsia="仿宋"/>
                <w:color w:val="000000"/>
                <w:kern w:val="0"/>
                <w:szCs w:val="21"/>
              </w:rPr>
              <w:t>≥</w:t>
            </w:r>
            <w:r>
              <w:rPr>
                <w:rFonts w:hint="eastAsia" w:ascii="Times New Roman" w:hAnsi="仿宋" w:eastAsia="仿宋"/>
                <w:color w:val="000000"/>
                <w:kern w:val="0"/>
                <w:szCs w:val="21"/>
              </w:rPr>
              <w:t>23000</w:t>
            </w:r>
            <w:r>
              <w:rPr>
                <w:rFonts w:ascii="Times New Roman" w:hAnsi="仿宋" w:eastAsia="仿宋"/>
                <w:color w:val="000000"/>
                <w:kern w:val="0"/>
                <w:szCs w:val="21"/>
              </w:rPr>
              <w:t>份,得3分；每减少100份，扣0.1分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0F664">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使用档案份数</w:t>
            </w:r>
            <w:r>
              <w:rPr>
                <w:rFonts w:ascii="Times New Roman" w:hAnsi="仿宋" w:eastAsia="仿宋"/>
                <w:color w:val="000000"/>
                <w:kern w:val="0"/>
                <w:szCs w:val="21"/>
              </w:rPr>
              <w:t>份数</w:t>
            </w:r>
            <w:r>
              <w:rPr>
                <w:rFonts w:hint="eastAsia" w:ascii="Times New Roman" w:hAnsi="仿宋" w:eastAsia="仿宋"/>
                <w:color w:val="000000"/>
                <w:kern w:val="0"/>
                <w:szCs w:val="21"/>
              </w:rPr>
              <w:t>59924</w:t>
            </w:r>
            <w:r>
              <w:rPr>
                <w:rFonts w:ascii="Times New Roman" w:hAnsi="仿宋" w:eastAsia="仿宋"/>
                <w:color w:val="000000"/>
                <w:kern w:val="0"/>
                <w:szCs w:val="21"/>
              </w:rPr>
              <w:t>份</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160C">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完成目标任务得满分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5E97">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r>
      <w:tr w14:paraId="056345C7">
        <w:tblPrEx>
          <w:tblCellMar>
            <w:top w:w="0" w:type="dxa"/>
            <w:left w:w="108" w:type="dxa"/>
            <w:bottom w:w="0" w:type="dxa"/>
            <w:right w:w="108" w:type="dxa"/>
          </w:tblCellMar>
        </w:tblPrEx>
        <w:trPr>
          <w:trHeight w:val="102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6521B4">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DFE6B">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7E33D">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C13</w:t>
            </w:r>
            <w:r>
              <w:rPr>
                <w:rFonts w:ascii="Times New Roman" w:hAnsi="仿宋" w:eastAsia="仿宋"/>
                <w:color w:val="000000"/>
                <w:kern w:val="0"/>
                <w:szCs w:val="21"/>
              </w:rPr>
              <w:t>为代理单位、人员线上线下办理档案综合业务份数</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C4EB">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36AF2">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28500</w:t>
            </w:r>
            <w:r>
              <w:rPr>
                <w:rFonts w:ascii="Times New Roman" w:hAnsi="仿宋" w:eastAsia="仿宋"/>
                <w:color w:val="000000"/>
                <w:kern w:val="0"/>
                <w:szCs w:val="21"/>
              </w:rPr>
              <w:t>份</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13D8E">
            <w:pPr>
              <w:widowControl/>
              <w:spacing w:line="280" w:lineRule="exact"/>
              <w:jc w:val="left"/>
              <w:textAlignment w:val="center"/>
              <w:rPr>
                <w:rFonts w:ascii="Times New Roman" w:hAnsi="仿宋" w:eastAsia="仿宋"/>
                <w:color w:val="000000"/>
                <w:kern w:val="0"/>
                <w:szCs w:val="21"/>
              </w:rPr>
            </w:pPr>
            <w:r>
              <w:rPr>
                <w:rFonts w:hint="eastAsia" w:ascii="Times New Roman" w:hAnsi="仿宋" w:eastAsia="仿宋"/>
                <w:color w:val="000000"/>
                <w:kern w:val="0"/>
                <w:szCs w:val="21"/>
              </w:rPr>
              <w:t>考查</w:t>
            </w:r>
            <w:r>
              <w:rPr>
                <w:rFonts w:ascii="Times New Roman" w:hAnsi="仿宋" w:eastAsia="仿宋"/>
                <w:color w:val="000000"/>
                <w:kern w:val="0"/>
                <w:szCs w:val="21"/>
              </w:rPr>
              <w:t>线上线下办理档案转出、出具证明、接收归档材料份数</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4664F">
            <w:pPr>
              <w:widowControl/>
              <w:spacing w:line="280" w:lineRule="exact"/>
              <w:jc w:val="left"/>
              <w:textAlignment w:val="center"/>
              <w:rPr>
                <w:rFonts w:ascii="Times New Roman" w:hAnsi="仿宋" w:eastAsia="仿宋"/>
                <w:color w:val="000000"/>
                <w:kern w:val="0"/>
                <w:szCs w:val="21"/>
              </w:rPr>
            </w:pPr>
            <w:r>
              <w:rPr>
                <w:rFonts w:ascii="Times New Roman" w:hAnsi="仿宋" w:eastAsia="仿宋"/>
                <w:color w:val="000000"/>
                <w:kern w:val="0"/>
                <w:szCs w:val="21"/>
              </w:rPr>
              <w:t>全年办理档案综合业务份数≥</w:t>
            </w:r>
            <w:r>
              <w:rPr>
                <w:rFonts w:hint="eastAsia" w:ascii="Times New Roman" w:hAnsi="仿宋" w:eastAsia="仿宋"/>
                <w:color w:val="000000"/>
                <w:kern w:val="0"/>
                <w:szCs w:val="21"/>
              </w:rPr>
              <w:t>28500</w:t>
            </w:r>
            <w:r>
              <w:rPr>
                <w:rFonts w:ascii="Times New Roman" w:hAnsi="仿宋" w:eastAsia="仿宋"/>
                <w:color w:val="000000"/>
                <w:kern w:val="0"/>
                <w:szCs w:val="21"/>
              </w:rPr>
              <w:t>份,得3分；每减少1000份，扣0.1分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6C81A">
            <w:pPr>
              <w:widowControl/>
              <w:spacing w:line="280" w:lineRule="exact"/>
              <w:jc w:val="center"/>
              <w:textAlignment w:val="center"/>
              <w:rPr>
                <w:rFonts w:ascii="Times New Roman" w:hAnsi="仿宋" w:eastAsia="仿宋"/>
                <w:color w:val="000000"/>
                <w:kern w:val="0"/>
                <w:szCs w:val="21"/>
              </w:rPr>
            </w:pPr>
            <w:r>
              <w:rPr>
                <w:rFonts w:ascii="Times New Roman" w:hAnsi="仿宋" w:eastAsia="仿宋"/>
                <w:color w:val="000000"/>
                <w:kern w:val="0"/>
                <w:szCs w:val="21"/>
              </w:rPr>
              <w:t>全年线上线下办理档案综合业</w:t>
            </w:r>
            <w:r>
              <w:rPr>
                <w:rFonts w:hint="eastAsia" w:ascii="Times New Roman" w:hAnsi="仿宋" w:eastAsia="仿宋"/>
                <w:color w:val="000000"/>
                <w:kern w:val="0"/>
                <w:szCs w:val="21"/>
              </w:rPr>
              <w:t>务66999</w:t>
            </w:r>
            <w:r>
              <w:rPr>
                <w:rFonts w:ascii="Times New Roman" w:hAnsi="仿宋" w:eastAsia="仿宋"/>
                <w:color w:val="000000"/>
                <w:kern w:val="0"/>
                <w:szCs w:val="21"/>
              </w:rPr>
              <w:t>份</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DEB4F">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完成目标任务得满分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32929">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r>
      <w:tr w14:paraId="305E0EB4">
        <w:tblPrEx>
          <w:tblCellMar>
            <w:top w:w="0" w:type="dxa"/>
            <w:left w:w="108" w:type="dxa"/>
            <w:bottom w:w="0" w:type="dxa"/>
            <w:right w:w="108" w:type="dxa"/>
          </w:tblCellMar>
        </w:tblPrEx>
        <w:trPr>
          <w:trHeight w:val="120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BF63D7">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CDDF8">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4DD4B">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C14档案转递（机要）份</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542C5">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F8F0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档案转递（机要）份数</w:t>
            </w:r>
            <w:r>
              <w:rPr>
                <w:rFonts w:ascii="Times New Roman" w:hAnsi="Times New Roman" w:eastAsia="仿宋"/>
                <w:color w:val="000000"/>
                <w:kern w:val="0"/>
                <w:szCs w:val="21"/>
              </w:rPr>
              <w:t>≥</w:t>
            </w:r>
            <w:r>
              <w:rPr>
                <w:rFonts w:hint="eastAsia" w:ascii="Times New Roman" w:hAnsi="Times New Roman" w:eastAsia="仿宋"/>
                <w:color w:val="000000"/>
                <w:kern w:val="0"/>
                <w:szCs w:val="21"/>
              </w:rPr>
              <w:t>7000</w:t>
            </w:r>
            <w:r>
              <w:rPr>
                <w:rFonts w:hint="eastAsia" w:ascii="Times New Roman" w:hAnsi="仿宋" w:eastAsia="仿宋"/>
                <w:color w:val="000000"/>
                <w:kern w:val="0"/>
                <w:szCs w:val="21"/>
              </w:rPr>
              <w:t>份</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C7174">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档案转递（机要）份数</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4E708">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档案转递（机要）</w:t>
            </w:r>
            <w:r>
              <w:rPr>
                <w:rFonts w:ascii="Times New Roman" w:hAnsi="Times New Roman" w:eastAsia="仿宋"/>
                <w:color w:val="000000"/>
                <w:kern w:val="0"/>
                <w:szCs w:val="21"/>
              </w:rPr>
              <w:t>≥</w:t>
            </w:r>
            <w:r>
              <w:rPr>
                <w:rFonts w:hint="eastAsia" w:ascii="Times New Roman" w:hAnsi="Times New Roman" w:eastAsia="仿宋"/>
                <w:color w:val="000000"/>
                <w:kern w:val="0"/>
                <w:szCs w:val="21"/>
              </w:rPr>
              <w:t>4500</w:t>
            </w:r>
            <w:r>
              <w:rPr>
                <w:rFonts w:ascii="Times New Roman" w:hAnsi="仿宋" w:eastAsia="仿宋"/>
                <w:color w:val="000000"/>
                <w:kern w:val="0"/>
                <w:szCs w:val="21"/>
              </w:rPr>
              <w:t>条</w:t>
            </w:r>
            <w:r>
              <w:rPr>
                <w:rFonts w:ascii="Times New Roman" w:hAnsi="Times New Roman" w:eastAsia="仿宋"/>
                <w:color w:val="000000"/>
                <w:kern w:val="0"/>
                <w:szCs w:val="21"/>
              </w:rPr>
              <w:t>,</w:t>
            </w:r>
            <w:r>
              <w:rPr>
                <w:rFonts w:ascii="Times New Roman" w:hAnsi="仿宋" w:eastAsia="仿宋"/>
                <w:color w:val="000000"/>
                <w:kern w:val="0"/>
                <w:szCs w:val="21"/>
              </w:rPr>
              <w:t>得</w:t>
            </w:r>
            <w:r>
              <w:rPr>
                <w:rFonts w:ascii="Times New Roman" w:hAnsi="Times New Roman" w:eastAsia="仿宋"/>
                <w:color w:val="000000"/>
                <w:kern w:val="0"/>
                <w:szCs w:val="21"/>
              </w:rPr>
              <w:t>3</w:t>
            </w:r>
            <w:r>
              <w:rPr>
                <w:rFonts w:ascii="Times New Roman" w:hAnsi="仿宋" w:eastAsia="仿宋"/>
                <w:color w:val="000000"/>
                <w:kern w:val="0"/>
                <w:szCs w:val="21"/>
              </w:rPr>
              <w:t>分；每减少</w:t>
            </w:r>
            <w:r>
              <w:rPr>
                <w:rFonts w:ascii="Times New Roman" w:hAnsi="Times New Roman" w:eastAsia="仿宋"/>
                <w:color w:val="000000"/>
                <w:kern w:val="0"/>
                <w:szCs w:val="21"/>
              </w:rPr>
              <w:t>10</w:t>
            </w:r>
            <w:r>
              <w:rPr>
                <w:rFonts w:hint="eastAsia" w:ascii="Times New Roman" w:hAnsi="Times New Roman" w:eastAsia="仿宋"/>
                <w:color w:val="000000"/>
                <w:kern w:val="0"/>
                <w:szCs w:val="21"/>
              </w:rPr>
              <w:t>0</w:t>
            </w:r>
            <w:r>
              <w:rPr>
                <w:rFonts w:ascii="Times New Roman" w:hAnsi="仿宋" w:eastAsia="仿宋"/>
                <w:color w:val="000000"/>
                <w:kern w:val="0"/>
                <w:szCs w:val="21"/>
              </w:rPr>
              <w:t>条，扣</w:t>
            </w:r>
            <w:r>
              <w:rPr>
                <w:rFonts w:ascii="Times New Roman" w:hAnsi="Times New Roman" w:eastAsia="仿宋"/>
                <w:color w:val="000000"/>
                <w:kern w:val="0"/>
                <w:szCs w:val="21"/>
              </w:rPr>
              <w:t>0.1</w:t>
            </w:r>
            <w:r>
              <w:rPr>
                <w:rFonts w:ascii="Times New Roman" w:hAnsi="仿宋" w:eastAsia="仿宋"/>
                <w:color w:val="000000"/>
                <w:kern w:val="0"/>
                <w:szCs w:val="21"/>
              </w:rPr>
              <w:t>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A7987">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档案转递（机要）7786份</w:t>
            </w:r>
            <w:r>
              <w:rPr>
                <w:rFonts w:ascii="Times New Roman" w:hAnsi="仿宋" w:eastAsia="仿宋"/>
                <w:color w:val="000000"/>
                <w:kern w:val="0"/>
                <w:szCs w:val="21"/>
              </w:rPr>
              <w:t>。</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1032">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全年</w:t>
            </w:r>
            <w:r>
              <w:rPr>
                <w:rFonts w:hint="eastAsia" w:ascii="Times New Roman" w:hAnsi="仿宋" w:eastAsia="仿宋"/>
                <w:color w:val="000000"/>
                <w:kern w:val="0"/>
                <w:szCs w:val="21"/>
              </w:rPr>
              <w:t>档案转递（机要）7786份，</w:t>
            </w:r>
            <w:r>
              <w:rPr>
                <w:rFonts w:ascii="Times New Roman" w:hAnsi="仿宋" w:eastAsia="仿宋"/>
                <w:color w:val="000000"/>
                <w:kern w:val="0"/>
                <w:szCs w:val="21"/>
              </w:rPr>
              <w:t>达到目标值，根据评分标准得</w:t>
            </w:r>
            <w:r>
              <w:rPr>
                <w:rFonts w:ascii="Times New Roman" w:hAnsi="Times New Roman" w:eastAsia="仿宋"/>
                <w:color w:val="000000"/>
                <w:kern w:val="0"/>
                <w:szCs w:val="21"/>
              </w:rPr>
              <w:t>3</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C2632">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r>
      <w:tr w14:paraId="228F2E13">
        <w:tblPrEx>
          <w:tblCellMar>
            <w:top w:w="0" w:type="dxa"/>
            <w:left w:w="108" w:type="dxa"/>
            <w:bottom w:w="0" w:type="dxa"/>
            <w:right w:w="108" w:type="dxa"/>
          </w:tblCellMar>
        </w:tblPrEx>
        <w:trPr>
          <w:trHeight w:val="9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13CBCD">
            <w:pPr>
              <w:spacing w:line="280" w:lineRule="exact"/>
              <w:jc w:val="center"/>
              <w:rPr>
                <w:rFonts w:ascii="Times New Roman" w:hAnsi="Times New Roman" w:eastAsia="仿宋"/>
                <w:color w:val="000000"/>
                <w:szCs w:val="21"/>
              </w:rPr>
            </w:pPr>
          </w:p>
        </w:tc>
        <w:tc>
          <w:tcPr>
            <w:tcW w:w="859" w:type="dxa"/>
            <w:vMerge w:val="restart"/>
            <w:tcBorders>
              <w:top w:val="single" w:color="000000" w:sz="4" w:space="0"/>
              <w:left w:val="single" w:color="000000" w:sz="4" w:space="0"/>
              <w:bottom w:val="nil"/>
              <w:right w:val="single" w:color="000000" w:sz="4" w:space="0"/>
            </w:tcBorders>
            <w:shd w:val="clear" w:color="auto" w:fill="auto"/>
            <w:vAlign w:val="center"/>
          </w:tcPr>
          <w:p w14:paraId="40A77A4E">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C</w:t>
            </w:r>
            <w:r>
              <w:rPr>
                <w:rFonts w:ascii="Times New Roman" w:hAnsi="Times New Roman" w:eastAsia="仿宋"/>
                <w:color w:val="000000"/>
                <w:kern w:val="0"/>
                <w:szCs w:val="21"/>
              </w:rPr>
              <w:t>2</w:t>
            </w:r>
            <w:r>
              <w:rPr>
                <w:rFonts w:ascii="Times New Roman" w:hAnsi="仿宋" w:eastAsia="仿宋"/>
                <w:color w:val="000000"/>
                <w:kern w:val="0"/>
                <w:szCs w:val="21"/>
              </w:rPr>
              <w:t>组织人才招聘、推荐、引进等交流活动</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47E39">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C21</w:t>
            </w:r>
            <w:r>
              <w:rPr>
                <w:rFonts w:ascii="Times New Roman" w:hAnsi="仿宋" w:eastAsia="仿宋"/>
                <w:color w:val="000000"/>
                <w:kern w:val="0"/>
                <w:szCs w:val="21"/>
              </w:rPr>
              <w:t>专场招聘会次数</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BDE54">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F9AD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全年</w:t>
            </w:r>
            <w:r>
              <w:rPr>
                <w:rFonts w:ascii="Times New Roman" w:hAnsi="Times New Roman" w:eastAsia="仿宋"/>
                <w:color w:val="000000"/>
                <w:kern w:val="0"/>
                <w:szCs w:val="21"/>
              </w:rPr>
              <w:t>≥</w:t>
            </w:r>
            <w:r>
              <w:rPr>
                <w:rFonts w:hint="eastAsia" w:ascii="Times New Roman" w:hAnsi="Times New Roman" w:eastAsia="仿宋"/>
                <w:color w:val="000000"/>
                <w:kern w:val="0"/>
                <w:szCs w:val="21"/>
              </w:rPr>
              <w:t>6</w:t>
            </w:r>
            <w:r>
              <w:rPr>
                <w:rFonts w:ascii="Times New Roman" w:hAnsi="仿宋" w:eastAsia="仿宋"/>
                <w:color w:val="000000"/>
                <w:kern w:val="0"/>
                <w:szCs w:val="21"/>
              </w:rPr>
              <w:t>场</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B292">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举办行业专场招聘会</w:t>
            </w:r>
            <w:r>
              <w:rPr>
                <w:rFonts w:ascii="Times New Roman" w:hAnsi="仿宋" w:eastAsia="仿宋"/>
                <w:color w:val="000000"/>
                <w:kern w:val="0"/>
                <w:szCs w:val="21"/>
              </w:rPr>
              <w:t>专场次数</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2974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全年举办专场招聘会次数</w:t>
            </w:r>
            <w:r>
              <w:rPr>
                <w:rFonts w:ascii="Times New Roman" w:hAnsi="Times New Roman" w:eastAsia="仿宋"/>
                <w:color w:val="000000"/>
                <w:kern w:val="0"/>
                <w:szCs w:val="21"/>
              </w:rPr>
              <w:t>≥</w:t>
            </w:r>
            <w:r>
              <w:rPr>
                <w:rFonts w:hint="eastAsia" w:ascii="Times New Roman" w:hAnsi="Times New Roman" w:eastAsia="仿宋"/>
                <w:color w:val="000000"/>
                <w:kern w:val="0"/>
                <w:szCs w:val="21"/>
              </w:rPr>
              <w:t>6</w:t>
            </w:r>
            <w:r>
              <w:rPr>
                <w:rFonts w:ascii="Times New Roman" w:hAnsi="仿宋" w:eastAsia="仿宋"/>
                <w:color w:val="000000"/>
                <w:kern w:val="0"/>
                <w:szCs w:val="21"/>
              </w:rPr>
              <w:t>场</w:t>
            </w:r>
            <w:r>
              <w:rPr>
                <w:rFonts w:ascii="Times New Roman" w:hAnsi="Times New Roman" w:eastAsia="仿宋"/>
                <w:color w:val="000000"/>
                <w:kern w:val="0"/>
                <w:szCs w:val="21"/>
              </w:rPr>
              <w:t>,</w:t>
            </w:r>
            <w:r>
              <w:rPr>
                <w:rFonts w:ascii="Times New Roman" w:hAnsi="仿宋" w:eastAsia="仿宋"/>
                <w:color w:val="000000"/>
                <w:kern w:val="0"/>
                <w:szCs w:val="21"/>
              </w:rPr>
              <w:t>得</w:t>
            </w:r>
            <w:r>
              <w:rPr>
                <w:rFonts w:ascii="Times New Roman" w:hAnsi="Times New Roman" w:eastAsia="仿宋"/>
                <w:color w:val="000000"/>
                <w:kern w:val="0"/>
                <w:szCs w:val="21"/>
              </w:rPr>
              <w:t>2</w:t>
            </w:r>
            <w:r>
              <w:rPr>
                <w:rFonts w:ascii="Times New Roman" w:hAnsi="仿宋" w:eastAsia="仿宋"/>
                <w:color w:val="000000"/>
                <w:kern w:val="0"/>
                <w:szCs w:val="21"/>
              </w:rPr>
              <w:t>分；每减少</w:t>
            </w:r>
            <w:r>
              <w:rPr>
                <w:rFonts w:ascii="Times New Roman" w:hAnsi="Times New Roman" w:eastAsia="仿宋"/>
                <w:color w:val="000000"/>
                <w:kern w:val="0"/>
                <w:szCs w:val="21"/>
              </w:rPr>
              <w:t>1</w:t>
            </w:r>
            <w:r>
              <w:rPr>
                <w:rFonts w:ascii="Times New Roman" w:hAnsi="仿宋" w:eastAsia="仿宋"/>
                <w:color w:val="000000"/>
                <w:kern w:val="0"/>
                <w:szCs w:val="21"/>
              </w:rPr>
              <w:t>场，扣</w:t>
            </w:r>
            <w:r>
              <w:rPr>
                <w:rFonts w:ascii="Times New Roman" w:hAnsi="Times New Roman" w:eastAsia="仿宋"/>
                <w:color w:val="000000"/>
                <w:kern w:val="0"/>
                <w:szCs w:val="21"/>
              </w:rPr>
              <w:t>0.1</w:t>
            </w:r>
            <w:r>
              <w:rPr>
                <w:rFonts w:ascii="Times New Roman" w:hAnsi="仿宋" w:eastAsia="仿宋"/>
                <w:color w:val="000000"/>
                <w:kern w:val="0"/>
                <w:szCs w:val="21"/>
              </w:rPr>
              <w:t>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23031">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8</w:t>
            </w:r>
            <w:r>
              <w:rPr>
                <w:rFonts w:ascii="Times New Roman" w:hAnsi="仿宋" w:eastAsia="仿宋"/>
                <w:color w:val="000000"/>
                <w:kern w:val="0"/>
                <w:szCs w:val="21"/>
              </w:rPr>
              <w:t>场</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005D1">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围绕“4266”产业体系人才需求举办8场专场招聘会，包含“宁聚英才 共赢未来” 重点产业企业专场招聘会、2024“南京人才日”青年人才嘉年华专场招聘会、“宁聚英才 共赢未来”2024年“4266”产业体系专场招聘会及硕博人才专场招聘会等，382家单位提供1398个职位，需求5847人。</w:t>
            </w:r>
            <w:r>
              <w:rPr>
                <w:rFonts w:ascii="Times New Roman" w:hAnsi="仿宋" w:eastAsia="仿宋"/>
                <w:color w:val="000000"/>
                <w:kern w:val="0"/>
                <w:szCs w:val="21"/>
              </w:rPr>
              <w:t>达到目标值，根据评分标准得</w:t>
            </w:r>
            <w:r>
              <w:rPr>
                <w:rFonts w:ascii="Times New Roman" w:hAnsi="Times New Roman" w:eastAsia="仿宋"/>
                <w:color w:val="000000"/>
                <w:kern w:val="0"/>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D8E1">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5013E879">
        <w:tblPrEx>
          <w:tblCellMar>
            <w:top w:w="0" w:type="dxa"/>
            <w:left w:w="108" w:type="dxa"/>
            <w:bottom w:w="0" w:type="dxa"/>
            <w:right w:w="108" w:type="dxa"/>
          </w:tblCellMar>
        </w:tblPrEx>
        <w:trPr>
          <w:trHeight w:val="118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F97C96">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14:paraId="42F03EAA">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B9090">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C22</w:t>
            </w:r>
            <w:r>
              <w:rPr>
                <w:rFonts w:ascii="Times New Roman" w:hAnsi="仿宋" w:eastAsia="仿宋"/>
                <w:color w:val="000000"/>
                <w:kern w:val="0"/>
                <w:szCs w:val="21"/>
              </w:rPr>
              <w:t>线上线下举办常规招聘会次数</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F4F1">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586B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全年</w:t>
            </w:r>
            <w:r>
              <w:rPr>
                <w:rFonts w:ascii="Times New Roman" w:hAnsi="Times New Roman" w:eastAsia="仿宋"/>
                <w:color w:val="000000"/>
                <w:kern w:val="0"/>
                <w:szCs w:val="21"/>
              </w:rPr>
              <w:t>≥150</w:t>
            </w:r>
            <w:r>
              <w:rPr>
                <w:rFonts w:ascii="Times New Roman" w:hAnsi="仿宋" w:eastAsia="仿宋"/>
                <w:color w:val="000000"/>
                <w:kern w:val="0"/>
                <w:szCs w:val="21"/>
              </w:rPr>
              <w:t>场</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4B2E9">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考查</w:t>
            </w:r>
            <w:r>
              <w:rPr>
                <w:rFonts w:ascii="Times New Roman" w:hAnsi="仿宋" w:eastAsia="仿宋"/>
                <w:color w:val="000000"/>
                <w:kern w:val="0"/>
                <w:szCs w:val="21"/>
              </w:rPr>
              <w:t>线上线下举办常规招聘会次数</w:t>
            </w:r>
            <w:r>
              <w:rPr>
                <w:rFonts w:hint="eastAsia" w:ascii="Times New Roman" w:hAnsi="仿宋" w:eastAsia="仿宋"/>
                <w:color w:val="000000"/>
                <w:kern w:val="0"/>
                <w:szCs w:val="21"/>
              </w:rPr>
              <w:t>及效果</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C433">
            <w:pPr>
              <w:widowControl/>
              <w:spacing w:line="280" w:lineRule="exact"/>
              <w:jc w:val="left"/>
              <w:textAlignment w:val="center"/>
              <w:rPr>
                <w:rFonts w:ascii="Times New Roman" w:hAnsi="Times New Roman" w:eastAsia="仿宋"/>
                <w:color w:val="000000"/>
                <w:szCs w:val="21"/>
                <w:highlight w:val="yellow"/>
              </w:rPr>
            </w:pPr>
            <w:r>
              <w:rPr>
                <w:rFonts w:ascii="Times New Roman" w:hAnsi="仿宋" w:eastAsia="仿宋"/>
                <w:color w:val="000000"/>
                <w:kern w:val="0"/>
                <w:szCs w:val="21"/>
                <w:highlight w:val="none"/>
              </w:rPr>
              <w:t>全年</w:t>
            </w:r>
            <w:r>
              <w:rPr>
                <w:rFonts w:hint="eastAsia" w:ascii="Times New Roman" w:hAnsi="仿宋" w:eastAsia="仿宋"/>
                <w:color w:val="000000"/>
                <w:kern w:val="0"/>
                <w:szCs w:val="21"/>
                <w:highlight w:val="none"/>
                <w:lang w:val="en-US" w:eastAsia="zh-CN"/>
              </w:rPr>
              <w:t>举办</w:t>
            </w:r>
            <w:r>
              <w:rPr>
                <w:rFonts w:ascii="Times New Roman" w:hAnsi="仿宋" w:eastAsia="仿宋"/>
                <w:color w:val="000000"/>
                <w:kern w:val="0"/>
                <w:szCs w:val="21"/>
                <w:highlight w:val="none"/>
              </w:rPr>
              <w:t>线上线下常规招聘会次数</w:t>
            </w:r>
            <w:r>
              <w:rPr>
                <w:rFonts w:ascii="Times New Roman" w:hAnsi="Times New Roman" w:eastAsia="仿宋"/>
                <w:color w:val="000000"/>
                <w:kern w:val="0"/>
                <w:szCs w:val="21"/>
                <w:highlight w:val="none"/>
              </w:rPr>
              <w:t>≥</w:t>
            </w:r>
            <w:r>
              <w:rPr>
                <w:rFonts w:hint="eastAsia" w:ascii="Times New Roman" w:hAnsi="Times New Roman" w:eastAsia="仿宋"/>
                <w:color w:val="000000"/>
                <w:kern w:val="0"/>
                <w:szCs w:val="21"/>
                <w:highlight w:val="none"/>
              </w:rPr>
              <w:t>150</w:t>
            </w:r>
            <w:r>
              <w:rPr>
                <w:rFonts w:ascii="Times New Roman" w:hAnsi="仿宋" w:eastAsia="仿宋"/>
                <w:color w:val="000000"/>
                <w:kern w:val="0"/>
                <w:szCs w:val="21"/>
                <w:highlight w:val="none"/>
              </w:rPr>
              <w:t>场</w:t>
            </w:r>
            <w:r>
              <w:rPr>
                <w:rFonts w:ascii="Times New Roman" w:hAnsi="Times New Roman" w:eastAsia="仿宋"/>
                <w:color w:val="000000"/>
                <w:kern w:val="0"/>
                <w:szCs w:val="21"/>
                <w:highlight w:val="none"/>
              </w:rPr>
              <w:t>,</w:t>
            </w:r>
            <w:r>
              <w:rPr>
                <w:rFonts w:ascii="Times New Roman" w:hAnsi="仿宋" w:eastAsia="仿宋"/>
                <w:color w:val="000000"/>
                <w:kern w:val="0"/>
                <w:szCs w:val="21"/>
                <w:highlight w:val="none"/>
              </w:rPr>
              <w:t>得</w:t>
            </w:r>
            <w:r>
              <w:rPr>
                <w:rFonts w:ascii="Times New Roman" w:hAnsi="Times New Roman" w:eastAsia="仿宋"/>
                <w:color w:val="000000"/>
                <w:kern w:val="0"/>
                <w:szCs w:val="21"/>
                <w:highlight w:val="none"/>
              </w:rPr>
              <w:t>2</w:t>
            </w:r>
            <w:r>
              <w:rPr>
                <w:rFonts w:ascii="Times New Roman" w:hAnsi="仿宋" w:eastAsia="仿宋"/>
                <w:color w:val="000000"/>
                <w:kern w:val="0"/>
                <w:szCs w:val="21"/>
                <w:highlight w:val="none"/>
              </w:rPr>
              <w:t>分；每减少</w:t>
            </w:r>
            <w:r>
              <w:rPr>
                <w:rFonts w:ascii="Times New Roman" w:hAnsi="Times New Roman" w:eastAsia="仿宋"/>
                <w:color w:val="000000"/>
                <w:kern w:val="0"/>
                <w:szCs w:val="21"/>
                <w:highlight w:val="none"/>
              </w:rPr>
              <w:t>5</w:t>
            </w:r>
            <w:r>
              <w:rPr>
                <w:rFonts w:ascii="Times New Roman" w:hAnsi="仿宋" w:eastAsia="仿宋"/>
                <w:color w:val="000000"/>
                <w:kern w:val="0"/>
                <w:szCs w:val="21"/>
                <w:highlight w:val="none"/>
              </w:rPr>
              <w:t>场，扣</w:t>
            </w:r>
            <w:r>
              <w:rPr>
                <w:rFonts w:ascii="Times New Roman" w:hAnsi="Times New Roman" w:eastAsia="仿宋"/>
                <w:color w:val="000000"/>
                <w:kern w:val="0"/>
                <w:szCs w:val="21"/>
                <w:highlight w:val="none"/>
              </w:rPr>
              <w:t>0.1</w:t>
            </w:r>
            <w:r>
              <w:rPr>
                <w:rFonts w:ascii="Times New Roman" w:hAnsi="仿宋" w:eastAsia="仿宋"/>
                <w:color w:val="000000"/>
                <w:kern w:val="0"/>
                <w:szCs w:val="21"/>
                <w:highlight w:val="none"/>
              </w:rPr>
              <w:t>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3BA87">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185</w:t>
            </w:r>
            <w:r>
              <w:rPr>
                <w:rFonts w:ascii="Times New Roman" w:hAnsi="仿宋" w:eastAsia="仿宋"/>
                <w:color w:val="000000"/>
                <w:kern w:val="0"/>
                <w:szCs w:val="21"/>
              </w:rPr>
              <w:t>场</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39C74">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举办常规线上线下招聘会185场，服务用人单位377家，提供职位1081个，需求1.03万人</w:t>
            </w:r>
            <w:r>
              <w:rPr>
                <w:rFonts w:ascii="Times New Roman" w:hAnsi="仿宋" w:eastAsia="仿宋"/>
                <w:color w:val="000000"/>
                <w:kern w:val="0"/>
                <w:szCs w:val="21"/>
              </w:rPr>
              <w:t>，</w:t>
            </w:r>
            <w:r>
              <w:rPr>
                <w:rFonts w:hint="eastAsia" w:ascii="Times New Roman" w:hAnsi="仿宋" w:eastAsia="仿宋"/>
                <w:color w:val="000000"/>
                <w:kern w:val="0"/>
                <w:szCs w:val="21"/>
              </w:rPr>
              <w:t>但个别场次对接效果不够理想</w:t>
            </w:r>
            <w:r>
              <w:rPr>
                <w:rFonts w:ascii="Times New Roman" w:hAnsi="仿宋" w:eastAsia="仿宋"/>
                <w:color w:val="000000"/>
                <w:kern w:val="0"/>
                <w:szCs w:val="21"/>
              </w:rPr>
              <w:t>，</w:t>
            </w:r>
            <w:r>
              <w:rPr>
                <w:rFonts w:hint="eastAsia" w:ascii="Times New Roman" w:hAnsi="仿宋" w:eastAsia="仿宋"/>
                <w:color w:val="000000"/>
                <w:kern w:val="0"/>
                <w:szCs w:val="21"/>
              </w:rPr>
              <w:t>酌情扣0.5分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6F6AE">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1.5</w:t>
            </w:r>
          </w:p>
        </w:tc>
      </w:tr>
      <w:tr w14:paraId="074B10DB">
        <w:tblPrEx>
          <w:tblCellMar>
            <w:top w:w="0" w:type="dxa"/>
            <w:left w:w="108" w:type="dxa"/>
            <w:bottom w:w="0" w:type="dxa"/>
            <w:right w:w="108" w:type="dxa"/>
          </w:tblCellMar>
        </w:tblPrEx>
        <w:trPr>
          <w:trHeight w:val="116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97C070">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14:paraId="406DD2E9">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6C64E">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C23巡回招聘会次数</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A8B7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8D0EB">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全年</w:t>
            </w:r>
            <w:r>
              <w:rPr>
                <w:rFonts w:ascii="Times New Roman" w:hAnsi="Times New Roman" w:eastAsia="仿宋"/>
                <w:color w:val="000000"/>
                <w:kern w:val="0"/>
                <w:szCs w:val="21"/>
              </w:rPr>
              <w:t>1</w:t>
            </w:r>
            <w:r>
              <w:rPr>
                <w:rFonts w:ascii="Times New Roman" w:hAnsi="仿宋" w:eastAsia="仿宋"/>
                <w:color w:val="000000"/>
                <w:kern w:val="0"/>
                <w:szCs w:val="21"/>
              </w:rPr>
              <w:t>场</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262B4">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是否举办</w:t>
            </w:r>
            <w:r>
              <w:rPr>
                <w:rFonts w:hint="eastAsia" w:ascii="Times New Roman" w:hAnsi="仿宋" w:eastAsia="仿宋"/>
                <w:color w:val="000000"/>
                <w:kern w:val="0"/>
                <w:szCs w:val="21"/>
              </w:rPr>
              <w:t>人社部全国大中城市“南京站”巡回招聘活动</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A6C4D">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“职引未来——2024年全国大中城市巡回招聘江苏站暨秋季高校毕业生就业服务系列活动”</w:t>
            </w:r>
            <w:r>
              <w:rPr>
                <w:rFonts w:ascii="Times New Roman" w:hAnsi="仿宋" w:eastAsia="仿宋"/>
                <w:color w:val="000000"/>
                <w:kern w:val="0"/>
                <w:szCs w:val="21"/>
              </w:rPr>
              <w:t>，得</w:t>
            </w:r>
            <w:r>
              <w:rPr>
                <w:rFonts w:ascii="Times New Roman" w:hAnsi="Times New Roman" w:eastAsia="仿宋"/>
                <w:color w:val="000000"/>
                <w:kern w:val="0"/>
                <w:szCs w:val="21"/>
              </w:rPr>
              <w:t>2</w:t>
            </w:r>
            <w:r>
              <w:rPr>
                <w:rFonts w:ascii="Times New Roman" w:hAnsi="仿宋" w:eastAsia="仿宋"/>
                <w:color w:val="000000"/>
                <w:kern w:val="0"/>
                <w:szCs w:val="21"/>
              </w:rPr>
              <w:t>分，否则不得分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7A350">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举办</w:t>
            </w:r>
            <w:r>
              <w:rPr>
                <w:rFonts w:ascii="Times New Roman" w:hAnsi="Times New Roman" w:eastAsia="仿宋"/>
                <w:color w:val="000000"/>
                <w:kern w:val="0"/>
                <w:szCs w:val="21"/>
              </w:rPr>
              <w:t>1</w:t>
            </w:r>
            <w:r>
              <w:rPr>
                <w:rFonts w:ascii="Times New Roman" w:hAnsi="仿宋" w:eastAsia="仿宋"/>
                <w:color w:val="000000"/>
                <w:kern w:val="0"/>
                <w:szCs w:val="21"/>
              </w:rPr>
              <w:t>场</w:t>
            </w:r>
            <w:r>
              <w:rPr>
                <w:rFonts w:hint="eastAsia" w:ascii="Times New Roman" w:hAnsi="仿宋" w:eastAsia="仿宋"/>
                <w:color w:val="000000"/>
                <w:kern w:val="0"/>
                <w:szCs w:val="21"/>
              </w:rPr>
              <w:t>“职引未来——2024年全国大中城市巡回招聘江苏站暨秋季高校毕业生就业服务系列活动”</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B851F">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2024年9月25日，“职引未来——2024年全国大中城市巡回招聘江苏站暨秋季高校毕业生就业服务系列活动”江北大学城专场在南京工业大学举办，248家用人单位现场提供1157个岗位，其中组织了49家南京用人单位，提供178个岗位，需求815人。</w:t>
            </w:r>
            <w:r>
              <w:rPr>
                <w:rFonts w:ascii="Times New Roman" w:hAnsi="仿宋" w:eastAsia="仿宋"/>
                <w:color w:val="000000"/>
                <w:kern w:val="0"/>
                <w:szCs w:val="21"/>
              </w:rPr>
              <w:t>达到目标值，根据评分标准得</w:t>
            </w:r>
            <w:r>
              <w:rPr>
                <w:rFonts w:ascii="Times New Roman" w:hAnsi="Times New Roman" w:eastAsia="仿宋"/>
                <w:color w:val="000000"/>
                <w:kern w:val="0"/>
                <w:szCs w:val="21"/>
              </w:rPr>
              <w:t>2</w:t>
            </w:r>
            <w:r>
              <w:rPr>
                <w:rFonts w:ascii="Times New Roman" w:hAnsi="仿宋" w:eastAsia="仿宋"/>
                <w:color w:val="000000"/>
                <w:kern w:val="0"/>
                <w:szCs w:val="21"/>
              </w:rPr>
              <w:t>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0140F">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2049C2E6">
        <w:tblPrEx>
          <w:tblCellMar>
            <w:top w:w="0" w:type="dxa"/>
            <w:left w:w="108" w:type="dxa"/>
            <w:bottom w:w="0" w:type="dxa"/>
            <w:right w:w="108" w:type="dxa"/>
          </w:tblCellMar>
        </w:tblPrEx>
        <w:trPr>
          <w:trHeight w:val="679"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72D1F3">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14:paraId="1996B2BD">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C12AF">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C24</w:t>
            </w:r>
            <w:r>
              <w:rPr>
                <w:rFonts w:ascii="Times New Roman" w:hAnsi="仿宋" w:eastAsia="仿宋"/>
                <w:color w:val="000000"/>
                <w:kern w:val="0"/>
                <w:szCs w:val="21"/>
              </w:rPr>
              <w:t>人才驿站信息宣传及时率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808F5">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9132B">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30ABB">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是否能及时</w:t>
            </w:r>
            <w:r>
              <w:rPr>
                <w:rFonts w:hint="eastAsia" w:ascii="Times New Roman" w:hAnsi="仿宋" w:eastAsia="仿宋"/>
                <w:color w:val="000000"/>
                <w:kern w:val="0"/>
                <w:szCs w:val="21"/>
              </w:rPr>
              <w:t>有效</w:t>
            </w:r>
            <w:r>
              <w:rPr>
                <w:rFonts w:ascii="Times New Roman" w:hAnsi="仿宋" w:eastAsia="仿宋"/>
                <w:color w:val="000000"/>
                <w:kern w:val="0"/>
                <w:szCs w:val="21"/>
              </w:rPr>
              <w:t>推送人才驿站信息</w:t>
            </w:r>
            <w:r>
              <w:rPr>
                <w:rFonts w:hint="eastAsia" w:ascii="Times New Roman" w:hAnsi="仿宋" w:eastAsia="仿宋"/>
                <w:color w:val="000000"/>
                <w:kern w:val="0"/>
                <w:szCs w:val="21"/>
              </w:rPr>
              <w:t>及南京市相关人才政策</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9C280">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能及时推送人才驿站信息，得</w:t>
            </w:r>
            <w:r>
              <w:rPr>
                <w:rFonts w:ascii="Times New Roman" w:hAnsi="Times New Roman" w:eastAsia="仿宋"/>
                <w:color w:val="000000"/>
                <w:kern w:val="0"/>
                <w:szCs w:val="21"/>
              </w:rPr>
              <w:t>2</w:t>
            </w:r>
            <w:r>
              <w:rPr>
                <w:rFonts w:ascii="Times New Roman" w:hAnsi="仿宋" w:eastAsia="仿宋"/>
                <w:color w:val="000000"/>
                <w:kern w:val="0"/>
                <w:szCs w:val="21"/>
              </w:rPr>
              <w:t>分，</w:t>
            </w:r>
            <w:r>
              <w:rPr>
                <w:rFonts w:hint="eastAsia" w:ascii="Times New Roman" w:hAnsi="仿宋" w:eastAsia="仿宋"/>
                <w:color w:val="000000"/>
                <w:kern w:val="0"/>
                <w:szCs w:val="21"/>
              </w:rPr>
              <w:t>其他酌情扣分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803E0">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9579C">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海内外</w:t>
            </w:r>
            <w:r>
              <w:rPr>
                <w:rFonts w:ascii="Times New Roman" w:hAnsi="Times New Roman" w:eastAsia="仿宋"/>
                <w:color w:val="000000"/>
                <w:kern w:val="0"/>
                <w:szCs w:val="21"/>
              </w:rPr>
              <w:t>15</w:t>
            </w:r>
            <w:r>
              <w:rPr>
                <w:rFonts w:ascii="Times New Roman" w:hAnsi="仿宋" w:eastAsia="仿宋"/>
                <w:color w:val="000000"/>
                <w:kern w:val="0"/>
                <w:szCs w:val="21"/>
              </w:rPr>
              <w:t>个</w:t>
            </w:r>
            <w:r>
              <w:rPr>
                <w:rFonts w:ascii="Times New Roman" w:hAnsi="Times New Roman" w:eastAsia="仿宋"/>
                <w:color w:val="000000"/>
                <w:kern w:val="0"/>
                <w:szCs w:val="21"/>
              </w:rPr>
              <w:t>“</w:t>
            </w:r>
            <w:r>
              <w:rPr>
                <w:rFonts w:ascii="Times New Roman" w:hAnsi="仿宋" w:eastAsia="仿宋"/>
                <w:color w:val="000000"/>
                <w:kern w:val="0"/>
                <w:szCs w:val="21"/>
              </w:rPr>
              <w:t>南京人才驿站</w:t>
            </w:r>
            <w:r>
              <w:rPr>
                <w:rFonts w:ascii="Times New Roman" w:hAnsi="Times New Roman" w:eastAsia="仿宋"/>
                <w:color w:val="000000"/>
                <w:kern w:val="0"/>
                <w:szCs w:val="21"/>
              </w:rPr>
              <w:t>”</w:t>
            </w:r>
            <w:r>
              <w:rPr>
                <w:rFonts w:ascii="Times New Roman" w:hAnsi="仿宋" w:eastAsia="仿宋"/>
                <w:color w:val="000000"/>
                <w:kern w:val="0"/>
                <w:szCs w:val="21"/>
              </w:rPr>
              <w:t>站点持续发挥引才作用</w:t>
            </w:r>
            <w:r>
              <w:rPr>
                <w:rFonts w:hint="eastAsia" w:ascii="Times New Roman" w:hAnsi="仿宋" w:eastAsia="仿宋"/>
                <w:color w:val="000000"/>
                <w:kern w:val="0"/>
                <w:szCs w:val="21"/>
              </w:rPr>
              <w:t>，</w:t>
            </w:r>
            <w:r>
              <w:rPr>
                <w:rFonts w:ascii="Times New Roman" w:hAnsi="仿宋" w:eastAsia="仿宋"/>
                <w:color w:val="000000"/>
                <w:kern w:val="0"/>
                <w:szCs w:val="21"/>
              </w:rPr>
              <w:t>通过站点联络、网站匹配、专场对接等方式及时推送</w:t>
            </w:r>
            <w:r>
              <w:rPr>
                <w:rFonts w:hint="eastAsia" w:ascii="Times New Roman" w:hAnsi="仿宋" w:eastAsia="仿宋"/>
                <w:color w:val="000000"/>
                <w:kern w:val="0"/>
                <w:szCs w:val="21"/>
              </w:rPr>
              <w:t>南京相关人才政策、人才资讯和创新创业相关动态，得满分。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E321E">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w:t>
            </w:r>
          </w:p>
        </w:tc>
      </w:tr>
      <w:tr w14:paraId="74C1E33C">
        <w:tblPrEx>
          <w:tblCellMar>
            <w:top w:w="0" w:type="dxa"/>
            <w:left w:w="108" w:type="dxa"/>
            <w:bottom w:w="0" w:type="dxa"/>
            <w:right w:w="108" w:type="dxa"/>
          </w:tblCellMar>
        </w:tblPrEx>
        <w:trPr>
          <w:trHeight w:val="176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A7387D">
            <w:pPr>
              <w:spacing w:line="280" w:lineRule="exact"/>
              <w:jc w:val="center"/>
              <w:rPr>
                <w:rFonts w:ascii="Times New Roman" w:hAnsi="Times New Roman" w:eastAsia="仿宋"/>
                <w:color w:val="000000"/>
                <w:szCs w:val="21"/>
              </w:rPr>
            </w:pPr>
          </w:p>
        </w:tc>
        <w:tc>
          <w:tcPr>
            <w:tcW w:w="859" w:type="dxa"/>
            <w:vMerge w:val="restart"/>
            <w:tcBorders>
              <w:top w:val="single" w:color="000000" w:sz="4" w:space="0"/>
              <w:left w:val="single" w:color="000000" w:sz="4" w:space="0"/>
              <w:bottom w:val="nil"/>
              <w:right w:val="single" w:color="000000" w:sz="4" w:space="0"/>
            </w:tcBorders>
            <w:shd w:val="clear" w:color="auto" w:fill="auto"/>
            <w:vAlign w:val="center"/>
          </w:tcPr>
          <w:p w14:paraId="5E9C87FC">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C</w:t>
            </w:r>
            <w:r>
              <w:rPr>
                <w:rFonts w:ascii="Times New Roman" w:hAnsi="Times New Roman" w:eastAsia="仿宋"/>
                <w:color w:val="000000"/>
                <w:kern w:val="0"/>
                <w:szCs w:val="21"/>
              </w:rPr>
              <w:t>3</w:t>
            </w:r>
            <w:r>
              <w:rPr>
                <w:rFonts w:ascii="Times New Roman" w:hAnsi="仿宋" w:eastAsia="仿宋"/>
                <w:color w:val="000000"/>
                <w:kern w:val="0"/>
                <w:szCs w:val="21"/>
              </w:rPr>
              <w:t>人才教育培训</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0430">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C31</w:t>
            </w:r>
            <w:r>
              <w:rPr>
                <w:rFonts w:ascii="Times New Roman" w:hAnsi="仿宋" w:eastAsia="仿宋"/>
                <w:color w:val="000000"/>
                <w:kern w:val="0"/>
                <w:szCs w:val="21"/>
              </w:rPr>
              <w:t>提供专业技术人员继续教育专业课在线授课服务</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3233">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61FD2">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符合局关于继续教育基地的要求</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7060B">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考查</w:t>
            </w:r>
            <w:r>
              <w:rPr>
                <w:rFonts w:ascii="Times New Roman" w:hAnsi="仿宋" w:eastAsia="仿宋"/>
                <w:color w:val="000000"/>
                <w:kern w:val="0"/>
                <w:szCs w:val="21"/>
              </w:rPr>
              <w:t>可选择的专业技术人员继续教育专业课课程数</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F7614">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符合局关于继续教育基地的要求得</w:t>
            </w:r>
            <w:r>
              <w:rPr>
                <w:rFonts w:ascii="Times New Roman" w:hAnsi="Times New Roman" w:eastAsia="仿宋"/>
                <w:color w:val="000000"/>
                <w:kern w:val="0"/>
                <w:szCs w:val="21"/>
              </w:rPr>
              <w:t>2</w:t>
            </w:r>
            <w:r>
              <w:rPr>
                <w:rFonts w:ascii="Times New Roman" w:hAnsi="仿宋" w:eastAsia="仿宋"/>
                <w:color w:val="000000"/>
                <w:kern w:val="0"/>
                <w:szCs w:val="21"/>
              </w:rPr>
              <w:t>分，否则不得分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8F408">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完成</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BCFD2">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2024年度增加40学时，累计280学时。新增加学习注册人数30194，累计人数135719，在线学习人数36593，完成学时数3706123课时。但课件的专业类别还可以进一步充实，酌情扣0.5分。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5F580">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1.5</w:t>
            </w:r>
          </w:p>
        </w:tc>
      </w:tr>
      <w:tr w14:paraId="3C08810B">
        <w:tblPrEx>
          <w:tblCellMar>
            <w:top w:w="0" w:type="dxa"/>
            <w:left w:w="108" w:type="dxa"/>
            <w:bottom w:w="0" w:type="dxa"/>
            <w:right w:w="108" w:type="dxa"/>
          </w:tblCellMar>
        </w:tblPrEx>
        <w:trPr>
          <w:trHeight w:val="787"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9EEF6E">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14:paraId="77063D31">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B9185">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C32高校毕业生“感知体验行动”活动次数</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F31BB">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B9311">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921E9">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高校毕业生“感知体验行动”活动次数</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34D0E">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高校毕业生“感知体验行动”活动次数</w:t>
            </w:r>
            <w:r>
              <w:rPr>
                <w:rFonts w:ascii="Times New Roman" w:hAnsi="Times New Roman" w:eastAsia="仿宋"/>
                <w:color w:val="000000"/>
                <w:kern w:val="0"/>
                <w:szCs w:val="21"/>
              </w:rPr>
              <w:t>≥</w:t>
            </w:r>
            <w:r>
              <w:rPr>
                <w:rFonts w:hint="eastAsia" w:ascii="Times New Roman" w:hAnsi="Times New Roman" w:eastAsia="仿宋"/>
                <w:color w:val="000000"/>
                <w:kern w:val="0"/>
                <w:szCs w:val="21"/>
              </w:rPr>
              <w:t>20次</w:t>
            </w:r>
            <w:r>
              <w:rPr>
                <w:rFonts w:ascii="Times New Roman" w:hAnsi="仿宋" w:eastAsia="仿宋"/>
                <w:color w:val="000000"/>
                <w:kern w:val="0"/>
                <w:szCs w:val="21"/>
              </w:rPr>
              <w:t>，得</w:t>
            </w:r>
            <w:r>
              <w:rPr>
                <w:rFonts w:ascii="Times New Roman" w:hAnsi="Times New Roman" w:eastAsia="仿宋"/>
                <w:color w:val="000000"/>
                <w:kern w:val="0"/>
                <w:szCs w:val="21"/>
              </w:rPr>
              <w:t>2</w:t>
            </w:r>
            <w:r>
              <w:rPr>
                <w:rFonts w:ascii="Times New Roman" w:hAnsi="仿宋" w:eastAsia="仿宋"/>
                <w:color w:val="000000"/>
                <w:kern w:val="0"/>
                <w:szCs w:val="21"/>
              </w:rPr>
              <w:t>分；</w:t>
            </w:r>
            <w:r>
              <w:rPr>
                <w:rFonts w:hint="eastAsia" w:ascii="Times New Roman" w:hAnsi="Times New Roman" w:eastAsia="仿宋"/>
                <w:color w:val="000000"/>
                <w:kern w:val="0"/>
                <w:szCs w:val="21"/>
              </w:rPr>
              <w:t>高校毕业生“感知体验行动”活动次数</w:t>
            </w:r>
            <w:r>
              <w:rPr>
                <w:rStyle w:val="7"/>
                <w:rFonts w:eastAsia="仿宋"/>
                <w:sz w:val="21"/>
                <w:szCs w:val="21"/>
              </w:rPr>
              <w:t>&lt;</w:t>
            </w:r>
            <w:r>
              <w:rPr>
                <w:rStyle w:val="7"/>
                <w:rFonts w:hint="eastAsia" w:eastAsia="仿宋"/>
                <w:sz w:val="21"/>
                <w:szCs w:val="21"/>
              </w:rPr>
              <w:t>20次</w:t>
            </w:r>
            <w:r>
              <w:rPr>
                <w:rFonts w:ascii="Times New Roman" w:hAnsi="仿宋" w:eastAsia="仿宋"/>
                <w:color w:val="000000"/>
                <w:kern w:val="0"/>
                <w:szCs w:val="21"/>
              </w:rPr>
              <w:t>，按比例得分。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32C2B">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22</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5A407">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2024年度共举办“感知体验行动”22场，组织南京工业大学、南京理工大学、南京财经大学等7所高校近600名高校毕业生走出校园、深入近30家企业及园区，增加实习实践经历，提升就业创业能力，但在活动线路优化及活动宣传发动上还需加强，酌情扣0.5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F38FC">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1.5</w:t>
            </w:r>
          </w:p>
        </w:tc>
      </w:tr>
      <w:tr w14:paraId="44C1848B">
        <w:tblPrEx>
          <w:tblCellMar>
            <w:top w:w="0" w:type="dxa"/>
            <w:left w:w="108" w:type="dxa"/>
            <w:bottom w:w="0" w:type="dxa"/>
            <w:right w:w="108" w:type="dxa"/>
          </w:tblCellMar>
        </w:tblPrEx>
        <w:trPr>
          <w:trHeight w:val="1193"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F5DD79">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14:paraId="2195E3FA">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AD29B">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C33</w:t>
            </w:r>
            <w:r>
              <w:rPr>
                <w:rFonts w:ascii="Times New Roman" w:hAnsi="仿宋" w:eastAsia="仿宋"/>
                <w:color w:val="000000"/>
                <w:kern w:val="0"/>
                <w:szCs w:val="21"/>
              </w:rPr>
              <w:t>完</w:t>
            </w:r>
            <w:r>
              <w:rPr>
                <w:rFonts w:hint="eastAsia" w:ascii="Times New Roman" w:hAnsi="仿宋" w:eastAsia="仿宋"/>
                <w:color w:val="000000"/>
                <w:kern w:val="0"/>
                <w:szCs w:val="21"/>
              </w:rPr>
              <w:t>成</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年南京市</w:t>
            </w:r>
            <w:r>
              <w:rPr>
                <w:rFonts w:hint="eastAsia" w:ascii="Times New Roman" w:hAnsi="仿宋" w:eastAsia="仿宋"/>
                <w:color w:val="000000"/>
                <w:kern w:val="0"/>
                <w:szCs w:val="21"/>
              </w:rPr>
              <w:t>“4266”</w:t>
            </w:r>
            <w:r>
              <w:rPr>
                <w:rFonts w:ascii="Times New Roman" w:hAnsi="仿宋" w:eastAsia="仿宋"/>
                <w:color w:val="000000"/>
                <w:kern w:val="0"/>
                <w:szCs w:val="21"/>
              </w:rPr>
              <w:t>产业紧缺人才调查并出具紧缺人才目录</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AFBA6">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0B1C6">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完成</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A575">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是否及时调查、分析并发布</w:t>
            </w:r>
            <w:r>
              <w:rPr>
                <w:rFonts w:hint="eastAsia" w:ascii="Times New Roman" w:hAnsi="仿宋" w:eastAsia="仿宋"/>
                <w:color w:val="000000"/>
                <w:kern w:val="0"/>
                <w:szCs w:val="21"/>
              </w:rPr>
              <w:t>《2024年度南京市“4266”产业体系紧缺人才需求目录》</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7A415">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及时完成得</w:t>
            </w:r>
            <w:r>
              <w:rPr>
                <w:rFonts w:ascii="Times New Roman" w:hAnsi="Times New Roman" w:eastAsia="仿宋"/>
                <w:color w:val="000000"/>
                <w:kern w:val="0"/>
                <w:szCs w:val="21"/>
              </w:rPr>
              <w:t>2</w:t>
            </w:r>
            <w:r>
              <w:rPr>
                <w:rFonts w:ascii="Times New Roman" w:hAnsi="仿宋" w:eastAsia="仿宋"/>
                <w:color w:val="000000"/>
                <w:kern w:val="0"/>
                <w:szCs w:val="21"/>
              </w:rPr>
              <w:t>分，进行调查但未能出具</w:t>
            </w:r>
            <w:r>
              <w:rPr>
                <w:rFonts w:hint="eastAsia" w:ascii="Times New Roman" w:hAnsi="仿宋" w:eastAsia="仿宋"/>
                <w:color w:val="000000"/>
                <w:kern w:val="0"/>
                <w:szCs w:val="21"/>
              </w:rPr>
              <w:t>《2024年度南京市“4266”产业体系紧缺人才需求目录》</w:t>
            </w:r>
            <w:r>
              <w:rPr>
                <w:rFonts w:ascii="Times New Roman" w:hAnsi="仿宋" w:eastAsia="仿宋"/>
                <w:color w:val="000000"/>
                <w:kern w:val="0"/>
                <w:szCs w:val="21"/>
              </w:rPr>
              <w:t>得</w:t>
            </w:r>
            <w:r>
              <w:rPr>
                <w:rFonts w:ascii="Times New Roman" w:hAnsi="Times New Roman" w:eastAsia="仿宋"/>
                <w:color w:val="000000"/>
                <w:kern w:val="0"/>
                <w:szCs w:val="21"/>
              </w:rPr>
              <w:t>1</w:t>
            </w:r>
            <w:r>
              <w:rPr>
                <w:rFonts w:ascii="Times New Roman" w:hAnsi="仿宋" w:eastAsia="仿宋"/>
                <w:color w:val="000000"/>
                <w:kern w:val="0"/>
                <w:szCs w:val="21"/>
              </w:rPr>
              <w:t>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DEED3">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完成</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AE4A1">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szCs w:val="21"/>
              </w:rPr>
              <w:t>编制发布《2024年度南京市“4266”产业体系紧缺人才需求目录》，并首次收录《南京人才驿站站点城市重点高校人才分布报告》。</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8D322">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64ACDA31">
        <w:tblPrEx>
          <w:tblCellMar>
            <w:top w:w="0" w:type="dxa"/>
            <w:left w:w="108" w:type="dxa"/>
            <w:bottom w:w="0" w:type="dxa"/>
            <w:right w:w="108" w:type="dxa"/>
          </w:tblCellMar>
        </w:tblPrEx>
        <w:trPr>
          <w:trHeight w:val="2671"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411CE8">
            <w:pPr>
              <w:spacing w:line="280" w:lineRule="exact"/>
              <w:jc w:val="center"/>
              <w:rPr>
                <w:rFonts w:ascii="Times New Roman" w:hAnsi="Times New Roman" w:eastAsia="仿宋"/>
                <w:color w:val="000000"/>
                <w:szCs w:val="21"/>
              </w:rPr>
            </w:pP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C78A82">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C</w:t>
            </w:r>
            <w:r>
              <w:rPr>
                <w:rFonts w:ascii="Times New Roman" w:hAnsi="Times New Roman" w:eastAsia="仿宋"/>
                <w:color w:val="000000"/>
                <w:kern w:val="0"/>
                <w:szCs w:val="21"/>
              </w:rPr>
              <w:t>4</w:t>
            </w:r>
            <w:r>
              <w:rPr>
                <w:rFonts w:ascii="Times New Roman" w:hAnsi="仿宋" w:eastAsia="仿宋"/>
                <w:color w:val="000000"/>
                <w:kern w:val="0"/>
                <w:szCs w:val="21"/>
              </w:rPr>
              <w:t>职称初定工作和建设工程初、中、高级职称评审工作</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8B082">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C41</w:t>
            </w:r>
            <w:r>
              <w:rPr>
                <w:rFonts w:ascii="Times New Roman" w:hAnsi="仿宋" w:eastAsia="仿宋"/>
                <w:color w:val="000000"/>
                <w:kern w:val="0"/>
                <w:szCs w:val="21"/>
              </w:rPr>
              <w:t>完成</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w:t>
            </w:r>
            <w:r>
              <w:rPr>
                <w:rFonts w:hint="eastAsia" w:ascii="Times New Roman" w:hAnsi="仿宋" w:eastAsia="仿宋"/>
                <w:color w:val="000000"/>
                <w:kern w:val="0"/>
                <w:szCs w:val="21"/>
              </w:rPr>
              <w:t>度</w:t>
            </w:r>
            <w:r>
              <w:rPr>
                <w:rFonts w:ascii="Times New Roman" w:hAnsi="仿宋" w:eastAsia="仿宋"/>
                <w:color w:val="000000"/>
                <w:kern w:val="0"/>
                <w:szCs w:val="21"/>
              </w:rPr>
              <w:t>在网上申报职称初定的审核工作</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D71EB">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95988">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完成</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EE811">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考查</w:t>
            </w:r>
            <w:r>
              <w:rPr>
                <w:rFonts w:ascii="Times New Roman" w:hAnsi="仿宋" w:eastAsia="仿宋"/>
                <w:color w:val="000000"/>
                <w:kern w:val="0"/>
                <w:szCs w:val="21"/>
              </w:rPr>
              <w:t>是否及时审核在网上申报职称初定人员的材料，是否及时生成通过审核的初定职称证书。</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64422">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完成网上职称初定审核工作并及时生成通过人员职称初定证书，得满分；否则，按未完成人数比例扣分。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AD8BF">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完成</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E7766">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完成</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年在网上申报职称初定人员的材料审核工作，其中通过审核的</w:t>
            </w:r>
            <w:r>
              <w:rPr>
                <w:rFonts w:hint="eastAsia" w:ascii="Times New Roman" w:hAnsi="Times New Roman" w:eastAsia="仿宋"/>
                <w:color w:val="000000"/>
                <w:kern w:val="0"/>
                <w:szCs w:val="21"/>
              </w:rPr>
              <w:t>7494</w:t>
            </w:r>
            <w:r>
              <w:rPr>
                <w:rFonts w:ascii="Times New Roman" w:hAnsi="仿宋" w:eastAsia="仿宋"/>
                <w:color w:val="000000"/>
                <w:kern w:val="0"/>
                <w:szCs w:val="21"/>
              </w:rPr>
              <w:t>人全部及时并生成证书，按照评分标准，得满分。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600BF">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33A9CAF0">
        <w:tblPrEx>
          <w:tblCellMar>
            <w:top w:w="0" w:type="dxa"/>
            <w:left w:w="108" w:type="dxa"/>
            <w:bottom w:w="0" w:type="dxa"/>
            <w:right w:w="108" w:type="dxa"/>
          </w:tblCellMar>
        </w:tblPrEx>
        <w:trPr>
          <w:trHeight w:val="9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AB04C4">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93352">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2E604">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C42</w:t>
            </w:r>
            <w:r>
              <w:rPr>
                <w:rFonts w:ascii="Times New Roman" w:hAnsi="仿宋" w:eastAsia="仿宋"/>
                <w:color w:val="000000"/>
                <w:kern w:val="0"/>
                <w:szCs w:val="21"/>
              </w:rPr>
              <w:t>完成</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年度南京市建设工程社会化中级专业技术资格评审和建设工程高级专业技术资格人才服务中心学科组评审工作</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11925">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957ED">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完成</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7B7C">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考查</w:t>
            </w:r>
            <w:r>
              <w:rPr>
                <w:rFonts w:ascii="Times New Roman" w:hAnsi="仿宋" w:eastAsia="仿宋"/>
                <w:color w:val="000000"/>
                <w:kern w:val="0"/>
                <w:szCs w:val="21"/>
              </w:rPr>
              <w:t>是否及时审核在网上申报职称评审人员的材料，是否及时组织召开职称评审会，是否及时生成通过评审人员的职称证书。</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8E0CE">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完成网上申报职称评审的材料审核工作并及时组织职称评审会，及时生成通过评审人员的职称证书，得满分；否则，按未完成人数比例扣分。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454BE">
            <w:pPr>
              <w:widowControl/>
              <w:spacing w:line="280" w:lineRule="exact"/>
              <w:jc w:val="center"/>
              <w:textAlignment w:val="center"/>
              <w:rPr>
                <w:rFonts w:ascii="Times New Roman" w:hAnsi="Times New Roman" w:eastAsia="仿宋"/>
                <w:color w:val="000000"/>
                <w:szCs w:val="21"/>
              </w:rPr>
            </w:pPr>
            <w:r>
              <w:rPr>
                <w:rFonts w:ascii="Times New Roman" w:hAnsi="仿宋" w:eastAsia="仿宋"/>
                <w:color w:val="000000"/>
                <w:kern w:val="0"/>
                <w:szCs w:val="21"/>
              </w:rPr>
              <w:t>完成</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2FA80">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完成</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年建设工程社会化中级职称评审，其中评审通过（含初级）</w:t>
            </w:r>
            <w:r>
              <w:rPr>
                <w:rFonts w:hint="eastAsia" w:ascii="Times New Roman" w:hAnsi="Times New Roman" w:eastAsia="仿宋"/>
                <w:color w:val="000000"/>
                <w:kern w:val="0"/>
                <w:szCs w:val="21"/>
              </w:rPr>
              <w:t>4769</w:t>
            </w:r>
            <w:r>
              <w:rPr>
                <w:rFonts w:ascii="Times New Roman" w:hAnsi="仿宋" w:eastAsia="仿宋"/>
                <w:color w:val="000000"/>
                <w:kern w:val="0"/>
                <w:szCs w:val="21"/>
              </w:rPr>
              <w:t>人全部及时生成职称证书。完成</w:t>
            </w:r>
            <w:r>
              <w:rPr>
                <w:rFonts w:ascii="Times New Roman" w:hAnsi="Times New Roman" w:eastAsia="仿宋"/>
                <w:color w:val="000000"/>
                <w:kern w:val="0"/>
                <w:szCs w:val="21"/>
              </w:rPr>
              <w:t>202</w:t>
            </w:r>
            <w:r>
              <w:rPr>
                <w:rFonts w:hint="eastAsia" w:ascii="Times New Roman" w:hAnsi="Times New Roman" w:eastAsia="仿宋"/>
                <w:color w:val="000000"/>
                <w:kern w:val="0"/>
                <w:szCs w:val="21"/>
              </w:rPr>
              <w:t>4</w:t>
            </w:r>
            <w:r>
              <w:rPr>
                <w:rFonts w:ascii="Times New Roman" w:hAnsi="仿宋" w:eastAsia="仿宋"/>
                <w:color w:val="000000"/>
                <w:kern w:val="0"/>
                <w:szCs w:val="21"/>
              </w:rPr>
              <w:t>年建设工程高级职称市人才服务中心学科组评审工作，通过</w:t>
            </w:r>
            <w:r>
              <w:rPr>
                <w:rFonts w:hint="eastAsia" w:ascii="Times New Roman" w:hAnsi="Times New Roman" w:eastAsia="仿宋"/>
                <w:color w:val="000000"/>
                <w:kern w:val="0"/>
                <w:szCs w:val="21"/>
              </w:rPr>
              <w:t>2097</w:t>
            </w:r>
            <w:r>
              <w:rPr>
                <w:rFonts w:ascii="Times New Roman" w:hAnsi="仿宋" w:eastAsia="仿宋"/>
                <w:color w:val="000000"/>
                <w:kern w:val="0"/>
                <w:szCs w:val="21"/>
              </w:rPr>
              <w:t>人全部及时上报到省人社厅并生成职称证书。按照评分标准，得满分。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77DC9">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7E8DB560">
        <w:tblPrEx>
          <w:tblCellMar>
            <w:top w:w="0" w:type="dxa"/>
            <w:left w:w="108" w:type="dxa"/>
            <w:bottom w:w="0" w:type="dxa"/>
            <w:right w:w="108" w:type="dxa"/>
          </w:tblCellMar>
        </w:tblPrEx>
        <w:trPr>
          <w:trHeight w:val="1241"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CD5085">
            <w:pPr>
              <w:spacing w:line="280" w:lineRule="exact"/>
              <w:jc w:val="center"/>
              <w:rPr>
                <w:rFonts w:ascii="Times New Roman" w:hAnsi="Times New Roman" w:eastAsia="仿宋"/>
                <w:color w:val="000000"/>
                <w:szCs w:val="21"/>
              </w:rPr>
            </w:pP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7994C4">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C</w:t>
            </w:r>
            <w:r>
              <w:rPr>
                <w:rFonts w:ascii="Times New Roman" w:hAnsi="Times New Roman" w:eastAsia="仿宋"/>
                <w:color w:val="000000"/>
                <w:kern w:val="0"/>
                <w:szCs w:val="21"/>
              </w:rPr>
              <w:t>5</w:t>
            </w:r>
            <w:r>
              <w:rPr>
                <w:rFonts w:ascii="Times New Roman" w:hAnsi="仿宋" w:eastAsia="仿宋"/>
                <w:color w:val="000000"/>
                <w:kern w:val="0"/>
                <w:szCs w:val="21"/>
              </w:rPr>
              <w:t>联合党委流动党员工作</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3DC0B">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C51</w:t>
            </w:r>
            <w:r>
              <w:rPr>
                <w:rFonts w:ascii="Times New Roman" w:hAnsi="仿宋" w:eastAsia="仿宋"/>
                <w:color w:val="000000"/>
                <w:kern w:val="0"/>
                <w:szCs w:val="21"/>
              </w:rPr>
              <w:t>组织党员活动次数</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CA27C">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DB7B4">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4</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6F76">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一年组织流动党员活动次数</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27524">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一个季度</w:t>
            </w:r>
            <w:r>
              <w:rPr>
                <w:rFonts w:hint="eastAsia" w:ascii="Times New Roman" w:hAnsi="仿宋" w:eastAsia="仿宋"/>
                <w:color w:val="000000"/>
                <w:kern w:val="0"/>
                <w:szCs w:val="21"/>
              </w:rPr>
              <w:t>至少</w:t>
            </w:r>
            <w:r>
              <w:rPr>
                <w:rFonts w:ascii="Times New Roman" w:hAnsi="仿宋" w:eastAsia="仿宋"/>
                <w:color w:val="000000"/>
                <w:kern w:val="0"/>
                <w:szCs w:val="21"/>
              </w:rPr>
              <w:t>组织</w:t>
            </w:r>
            <w:r>
              <w:rPr>
                <w:rStyle w:val="7"/>
                <w:rFonts w:eastAsia="仿宋"/>
                <w:sz w:val="21"/>
                <w:szCs w:val="21"/>
              </w:rPr>
              <w:t>1</w:t>
            </w:r>
            <w:r>
              <w:rPr>
                <w:rFonts w:ascii="Times New Roman" w:hAnsi="宋体"/>
                <w:color w:val="000000"/>
                <w:kern w:val="0"/>
                <w:szCs w:val="21"/>
              </w:rPr>
              <w:t>次</w:t>
            </w:r>
            <w:r>
              <w:rPr>
                <w:rFonts w:ascii="Times New Roman" w:hAnsi="仿宋" w:eastAsia="仿宋"/>
                <w:color w:val="000000"/>
                <w:kern w:val="0"/>
                <w:szCs w:val="21"/>
              </w:rPr>
              <w:t>活动，一年</w:t>
            </w:r>
            <w:r>
              <w:rPr>
                <w:rFonts w:hint="eastAsia" w:ascii="Times New Roman" w:hAnsi="仿宋" w:eastAsia="仿宋"/>
                <w:color w:val="000000"/>
                <w:kern w:val="0"/>
                <w:szCs w:val="21"/>
              </w:rPr>
              <w:t>至少</w:t>
            </w:r>
            <w:r>
              <w:rPr>
                <w:rFonts w:ascii="Times New Roman" w:hAnsi="仿宋" w:eastAsia="仿宋"/>
                <w:color w:val="000000"/>
                <w:kern w:val="0"/>
                <w:szCs w:val="21"/>
              </w:rPr>
              <w:t>组织</w:t>
            </w:r>
            <w:r>
              <w:rPr>
                <w:rFonts w:ascii="Times New Roman" w:hAnsi="Times New Roman" w:eastAsia="仿宋"/>
                <w:color w:val="000000"/>
                <w:kern w:val="0"/>
                <w:szCs w:val="21"/>
              </w:rPr>
              <w:t>4</w:t>
            </w:r>
            <w:r>
              <w:rPr>
                <w:rFonts w:ascii="Times New Roman" w:hAnsi="仿宋" w:eastAsia="仿宋"/>
                <w:color w:val="000000"/>
                <w:kern w:val="0"/>
                <w:szCs w:val="21"/>
              </w:rPr>
              <w:t>次活动得</w:t>
            </w:r>
            <w:r>
              <w:rPr>
                <w:rFonts w:ascii="Times New Roman" w:hAnsi="Times New Roman" w:eastAsia="仿宋"/>
                <w:color w:val="000000"/>
                <w:kern w:val="0"/>
                <w:szCs w:val="21"/>
              </w:rPr>
              <w:t>3</w:t>
            </w:r>
            <w:r>
              <w:rPr>
                <w:rFonts w:ascii="Times New Roman" w:hAnsi="仿宋" w:eastAsia="仿宋"/>
                <w:color w:val="000000"/>
                <w:kern w:val="0"/>
                <w:szCs w:val="21"/>
              </w:rPr>
              <w:t>分；否则，按比例得分。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BA8F7">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7</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26676">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组织流动党员活动</w:t>
            </w:r>
            <w:r>
              <w:rPr>
                <w:rFonts w:hint="eastAsia" w:ascii="Times New Roman" w:hAnsi="Times New Roman" w:eastAsia="仿宋"/>
                <w:color w:val="000000"/>
                <w:kern w:val="0"/>
                <w:szCs w:val="21"/>
              </w:rPr>
              <w:t>7</w:t>
            </w:r>
            <w:r>
              <w:rPr>
                <w:rFonts w:ascii="Times New Roman" w:hAnsi="仿宋" w:eastAsia="仿宋"/>
                <w:color w:val="000000"/>
                <w:kern w:val="0"/>
                <w:szCs w:val="21"/>
              </w:rPr>
              <w:t>次，得满分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641DE">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6DCB8A3E">
        <w:tblPrEx>
          <w:tblCellMar>
            <w:top w:w="0" w:type="dxa"/>
            <w:left w:w="108" w:type="dxa"/>
            <w:bottom w:w="0" w:type="dxa"/>
            <w:right w:w="108" w:type="dxa"/>
          </w:tblCellMar>
        </w:tblPrEx>
        <w:trPr>
          <w:trHeight w:val="150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94CF99">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DF547">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C1F6">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C52</w:t>
            </w:r>
            <w:r>
              <w:rPr>
                <w:rFonts w:ascii="Times New Roman" w:hAnsi="仿宋" w:eastAsia="仿宋"/>
                <w:color w:val="000000"/>
                <w:kern w:val="0"/>
                <w:szCs w:val="21"/>
              </w:rPr>
              <w:t>流动党员组织关系转接及时率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31A63">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ED8F4">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100%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7D893">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流动党员组织关系转接及时率</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69452">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在年统之前完成当年申请转入转出操作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B200F">
            <w:pPr>
              <w:widowControl/>
              <w:spacing w:line="280" w:lineRule="exact"/>
              <w:jc w:val="center"/>
              <w:textAlignment w:val="center"/>
              <w:rPr>
                <w:rFonts w:ascii="Times New Roman" w:hAnsi="Times New Roman" w:eastAsia="仿宋"/>
                <w:color w:val="000000"/>
                <w:szCs w:val="21"/>
              </w:rPr>
            </w:pPr>
            <w:r>
              <w:rPr>
                <w:rFonts w:hint="eastAsia" w:ascii="Times New Roman" w:hAnsi="仿宋" w:eastAsia="仿宋"/>
                <w:color w:val="000000"/>
                <w:kern w:val="0"/>
                <w:szCs w:val="21"/>
              </w:rPr>
              <w:t>100%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FBDD9">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能够及时按需求办理</w:t>
            </w:r>
            <w:r>
              <w:rPr>
                <w:rFonts w:ascii="Times New Roman" w:hAnsi="仿宋" w:eastAsia="仿宋"/>
                <w:color w:val="000000"/>
                <w:kern w:val="0"/>
                <w:szCs w:val="21"/>
              </w:rPr>
              <w:t>流动党员组织关系转接</w:t>
            </w:r>
            <w:r>
              <w:rPr>
                <w:rFonts w:hint="eastAsia" w:ascii="Times New Roman" w:hAnsi="仿宋" w:eastAsia="仿宋"/>
                <w:color w:val="000000"/>
                <w:kern w:val="0"/>
                <w:szCs w:val="21"/>
              </w:rPr>
              <w:t>，得满分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6CBE6">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25DC4913">
        <w:tblPrEx>
          <w:tblCellMar>
            <w:top w:w="0" w:type="dxa"/>
            <w:left w:w="108" w:type="dxa"/>
            <w:bottom w:w="0" w:type="dxa"/>
            <w:right w:w="108" w:type="dxa"/>
          </w:tblCellMar>
        </w:tblPrEx>
        <w:trPr>
          <w:trHeight w:val="60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192094">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22274">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203FC">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C53每月</w:t>
            </w:r>
            <w:r>
              <w:rPr>
                <w:rFonts w:ascii="Times New Roman" w:hAnsi="仿宋" w:eastAsia="仿宋"/>
                <w:color w:val="000000"/>
                <w:kern w:val="0"/>
                <w:szCs w:val="21"/>
              </w:rPr>
              <w:t>发送学习资料</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63FB">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3699D">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完成</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4A422">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每</w:t>
            </w:r>
            <w:r>
              <w:rPr>
                <w:rFonts w:hint="eastAsia" w:ascii="Times New Roman" w:hAnsi="仿宋" w:eastAsia="仿宋"/>
                <w:color w:val="000000"/>
                <w:kern w:val="0"/>
                <w:szCs w:val="21"/>
              </w:rPr>
              <w:t>月</w:t>
            </w:r>
            <w:r>
              <w:rPr>
                <w:rFonts w:ascii="Times New Roman" w:hAnsi="仿宋" w:eastAsia="仿宋"/>
                <w:color w:val="000000"/>
                <w:kern w:val="0"/>
                <w:szCs w:val="21"/>
              </w:rPr>
              <w:t>向流动党员发送学习资料</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F5764">
            <w:pPr>
              <w:widowControl/>
              <w:spacing w:line="280" w:lineRule="exact"/>
              <w:jc w:val="left"/>
              <w:textAlignment w:val="center"/>
              <w:rPr>
                <w:rFonts w:ascii="Times New Roman" w:hAnsi="Times New Roman" w:eastAsia="仿宋"/>
                <w:color w:val="000000"/>
                <w:szCs w:val="21"/>
              </w:rPr>
            </w:pPr>
            <w:r>
              <w:rPr>
                <w:rFonts w:ascii="Times New Roman" w:hAnsi="仿宋" w:eastAsia="仿宋"/>
                <w:color w:val="000000"/>
                <w:kern w:val="0"/>
                <w:szCs w:val="21"/>
              </w:rPr>
              <w:t>每月发送学习资料篇</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6FB35">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完成</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70E55">
            <w:pPr>
              <w:widowControl/>
              <w:spacing w:line="280" w:lineRule="exact"/>
              <w:jc w:val="left"/>
              <w:textAlignment w:val="center"/>
              <w:rPr>
                <w:rFonts w:ascii="Times New Roman" w:hAnsi="Times New Roman" w:eastAsia="仿宋"/>
                <w:color w:val="000000"/>
                <w:szCs w:val="21"/>
              </w:rPr>
            </w:pPr>
            <w:r>
              <w:rPr>
                <w:rFonts w:hint="eastAsia" w:ascii="Times New Roman" w:hAnsi="仿宋" w:eastAsia="仿宋"/>
                <w:color w:val="000000"/>
                <w:kern w:val="0"/>
                <w:szCs w:val="21"/>
              </w:rPr>
              <w:t>每月定期推送学习视频，转发理论文章，配发学习书籍，邀请专家授课，组织参观见学，提升党员学习参与度，缓解流动党员工学矛盾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67E05">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26E89FA8">
        <w:tblPrEx>
          <w:tblCellMar>
            <w:top w:w="0" w:type="dxa"/>
            <w:left w:w="108" w:type="dxa"/>
            <w:bottom w:w="0" w:type="dxa"/>
            <w:right w:w="108" w:type="dxa"/>
          </w:tblCellMar>
        </w:tblPrEx>
        <w:trPr>
          <w:trHeight w:val="600" w:hRule="atLeast"/>
        </w:trPr>
        <w:tc>
          <w:tcPr>
            <w:tcW w:w="7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B61167A">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w:t>
            </w:r>
            <w:r>
              <w:rPr>
                <w:rFonts w:ascii="Times New Roman" w:hAnsi="Times New Roman" w:eastAsia="仿宋"/>
                <w:color w:val="000000"/>
                <w:kern w:val="0"/>
                <w:szCs w:val="21"/>
              </w:rPr>
              <w:t>部门履职效益</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18A58">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w:t>
            </w:r>
            <w:r>
              <w:rPr>
                <w:rFonts w:ascii="Times New Roman" w:hAnsi="Times New Roman" w:eastAsia="仿宋"/>
                <w:color w:val="000000"/>
                <w:kern w:val="0"/>
                <w:szCs w:val="21"/>
              </w:rPr>
              <w:t>1经济效益</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8B1C1">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D11</w:t>
            </w:r>
            <w:r>
              <w:rPr>
                <w:rFonts w:ascii="Times New Roman" w:hAnsi="Times New Roman" w:eastAsia="仿宋"/>
                <w:color w:val="000000"/>
                <w:kern w:val="0"/>
                <w:szCs w:val="21"/>
              </w:rPr>
              <w:t>非税收入应收尽收率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975DA">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F0879">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100%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1709A">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考查</w:t>
            </w:r>
            <w:r>
              <w:rPr>
                <w:rFonts w:ascii="Times New Roman" w:hAnsi="Times New Roman" w:eastAsia="仿宋"/>
                <w:color w:val="000000"/>
                <w:kern w:val="0"/>
                <w:szCs w:val="21"/>
              </w:rPr>
              <w:t>非税收入应收尽收率</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863BF">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年初非税预算收入150万元，完成目标收入得3分，每少完成1万元，扣0.1分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E694D">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100%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2F03F">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年初非税预算收入150万元，全年完成职称评审费非税收入</w:t>
            </w:r>
            <w:r>
              <w:rPr>
                <w:rFonts w:hint="eastAsia" w:ascii="Times New Roman" w:hAnsi="Times New Roman" w:eastAsia="仿宋"/>
                <w:color w:val="000000"/>
                <w:kern w:val="0"/>
                <w:szCs w:val="21"/>
              </w:rPr>
              <w:t>184.56</w:t>
            </w:r>
            <w:r>
              <w:rPr>
                <w:rFonts w:ascii="Times New Roman" w:hAnsi="Times New Roman" w:eastAsia="仿宋"/>
                <w:color w:val="000000"/>
                <w:kern w:val="0"/>
                <w:szCs w:val="21"/>
              </w:rPr>
              <w:t>万元，得3分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B61F">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r>
      <w:tr w14:paraId="111D6E55">
        <w:tblPrEx>
          <w:tblCellMar>
            <w:top w:w="0" w:type="dxa"/>
            <w:left w:w="108" w:type="dxa"/>
            <w:bottom w:w="0" w:type="dxa"/>
            <w:right w:w="108" w:type="dxa"/>
          </w:tblCellMar>
        </w:tblPrEx>
        <w:trPr>
          <w:trHeight w:val="126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9A7E6E">
            <w:pPr>
              <w:spacing w:line="280" w:lineRule="exact"/>
              <w:jc w:val="center"/>
              <w:rPr>
                <w:rFonts w:ascii="Times New Roman" w:hAnsi="Times New Roman" w:eastAsia="仿宋"/>
                <w:color w:val="000000"/>
                <w:szCs w:val="21"/>
              </w:rPr>
            </w:pP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CE042A">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w:t>
            </w:r>
            <w:r>
              <w:rPr>
                <w:rFonts w:ascii="Times New Roman" w:hAnsi="Times New Roman" w:eastAsia="仿宋"/>
                <w:color w:val="000000"/>
                <w:kern w:val="0"/>
                <w:szCs w:val="21"/>
              </w:rPr>
              <w:t>2社会效益</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E54AC">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D21</w:t>
            </w:r>
            <w:r>
              <w:rPr>
                <w:rFonts w:ascii="Times New Roman" w:hAnsi="Times New Roman" w:eastAsia="仿宋"/>
                <w:color w:val="000000"/>
                <w:kern w:val="0"/>
                <w:szCs w:val="21"/>
              </w:rPr>
              <w:t>档案业务合规需求满足率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A2241">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71532">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87D43">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考查</w:t>
            </w:r>
            <w:r>
              <w:rPr>
                <w:rFonts w:ascii="Times New Roman" w:hAnsi="Times New Roman" w:eastAsia="仿宋"/>
                <w:color w:val="000000"/>
                <w:kern w:val="0"/>
                <w:szCs w:val="21"/>
              </w:rPr>
              <w:t>档案业务合规需求满足情况</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48C13">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能满足档案业务合规需求，得3分，每接到1起合理投诉，扣0.1分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C8580">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B852">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能满足档案业务合规需求，未接到投诉，得满分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F970">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r>
      <w:tr w14:paraId="3D14837F">
        <w:tblPrEx>
          <w:tblCellMar>
            <w:top w:w="0" w:type="dxa"/>
            <w:left w:w="108" w:type="dxa"/>
            <w:bottom w:w="0" w:type="dxa"/>
            <w:right w:w="108" w:type="dxa"/>
          </w:tblCellMar>
        </w:tblPrEx>
        <w:trPr>
          <w:trHeight w:val="1917"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7FE433">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10F82">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63D8E">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D22围绕南京市创新型产业举办“宁聚英才 共赢未来”2024年创新型产业专场招聘</w:t>
            </w:r>
            <w:r>
              <w:rPr>
                <w:rFonts w:ascii="Times New Roman" w:hAnsi="Times New Roman" w:eastAsia="仿宋"/>
                <w:color w:val="000000"/>
                <w:kern w:val="0"/>
                <w:szCs w:val="21"/>
              </w:rPr>
              <w:t>需求承办率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E07DE">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14F7">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72D89">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根据市政府产业发展规划，围绕南京市创新型产业举办“宁聚英才 共赢未来”2024年创新型产业专场招聘</w:t>
            </w:r>
            <w:r>
              <w:rPr>
                <w:rFonts w:ascii="Times New Roman" w:hAnsi="Times New Roman" w:eastAsia="仿宋"/>
                <w:color w:val="000000"/>
                <w:kern w:val="0"/>
                <w:szCs w:val="21"/>
              </w:rPr>
              <w:t>需求承办率</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FE31">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能及时承办</w:t>
            </w:r>
            <w:r>
              <w:rPr>
                <w:rFonts w:hint="eastAsia" w:ascii="Times New Roman" w:hAnsi="Times New Roman" w:eastAsia="仿宋"/>
                <w:color w:val="000000"/>
                <w:kern w:val="0"/>
                <w:szCs w:val="21"/>
              </w:rPr>
              <w:t>“宁聚英才 共赢未来”2024年</w:t>
            </w:r>
            <w:r>
              <w:rPr>
                <w:rFonts w:ascii="Times New Roman" w:hAnsi="Times New Roman" w:eastAsia="仿宋"/>
                <w:color w:val="000000"/>
                <w:kern w:val="0"/>
                <w:szCs w:val="21"/>
              </w:rPr>
              <w:t>招聘需求，得3分，未按时完成1</w:t>
            </w:r>
            <w:r>
              <w:rPr>
                <w:rFonts w:hint="eastAsia" w:ascii="Times New Roman" w:hAnsi="Times New Roman" w:eastAsia="仿宋"/>
                <w:color w:val="000000"/>
                <w:kern w:val="0"/>
                <w:szCs w:val="21"/>
              </w:rPr>
              <w:t>场招聘会</w:t>
            </w:r>
            <w:r>
              <w:rPr>
                <w:rFonts w:ascii="Times New Roman" w:hAnsi="Times New Roman" w:eastAsia="仿宋"/>
                <w:color w:val="000000"/>
                <w:kern w:val="0"/>
                <w:szCs w:val="21"/>
              </w:rPr>
              <w:t>，扣0.1分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2FDF0">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E88C7">
            <w:pPr>
              <w:widowControl/>
              <w:spacing w:line="280" w:lineRule="exact"/>
              <w:jc w:val="left"/>
              <w:textAlignment w:val="center"/>
              <w:rPr>
                <w:rFonts w:ascii="Times New Roman" w:hAnsi="Times New Roman" w:eastAsia="仿宋"/>
                <w:color w:val="000000"/>
                <w:kern w:val="0"/>
                <w:szCs w:val="21"/>
              </w:rPr>
            </w:pPr>
            <w:r>
              <w:rPr>
                <w:rFonts w:hint="eastAsia" w:ascii="Times New Roman" w:hAnsi="Times New Roman" w:eastAsia="仿宋"/>
                <w:color w:val="000000"/>
                <w:kern w:val="0"/>
                <w:szCs w:val="21"/>
              </w:rPr>
              <w:t>围绕“4266”产业体系人才需求举办8场专场招聘会，包含“宁聚英才 共赢未来” 重点产业企业专场招聘会、2024“南京人才日”青年人才嘉年华专场招聘会、“宁聚英才 共赢未来”2024年“4266”产业体系专场招聘会及硕博人才专场招聘会等，382家单位提供1398个职位，需求5847人。</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F5CCB">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r>
      <w:tr w14:paraId="399A7E96">
        <w:tblPrEx>
          <w:tblCellMar>
            <w:top w:w="0" w:type="dxa"/>
            <w:left w:w="108" w:type="dxa"/>
            <w:bottom w:w="0" w:type="dxa"/>
            <w:right w:w="108" w:type="dxa"/>
          </w:tblCellMar>
        </w:tblPrEx>
        <w:trPr>
          <w:trHeight w:val="67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473DD6">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75CA9">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25018">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D23</w:t>
            </w:r>
            <w:r>
              <w:rPr>
                <w:rFonts w:ascii="Times New Roman" w:hAnsi="Times New Roman" w:eastAsia="仿宋"/>
                <w:color w:val="000000"/>
                <w:kern w:val="0"/>
                <w:szCs w:val="21"/>
              </w:rPr>
              <w:t>建设工程初、中、高级职称评审费收缴完成率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C6BA6">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AAE7E">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92A51">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考查</w:t>
            </w:r>
            <w:r>
              <w:rPr>
                <w:rFonts w:ascii="Times New Roman" w:hAnsi="Times New Roman" w:eastAsia="仿宋"/>
                <w:color w:val="000000"/>
                <w:kern w:val="0"/>
                <w:szCs w:val="21"/>
              </w:rPr>
              <w:t>是否按财政规定的收费标准，及时收缴建设工程初、中、高级职称评审费（初级40元/人，中级200元/人，高级300元/人）收缴工作</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54EA5">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能及时办理建设工程初、中、高级职称申报初审通过人员的评审费收缴，得3分，未按时完成，1人扣0.1分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31F7A">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9413D">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建设工程初、中、高级职称评审申报中，对通过初审的所有职称申报人员均按时完成评审费收缴工作，按照评分标准，得满分。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9A720">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r>
      <w:tr w14:paraId="4597BF7D">
        <w:tblPrEx>
          <w:tblCellMar>
            <w:top w:w="0" w:type="dxa"/>
            <w:left w:w="108" w:type="dxa"/>
            <w:bottom w:w="0" w:type="dxa"/>
            <w:right w:w="108" w:type="dxa"/>
          </w:tblCellMar>
        </w:tblPrEx>
        <w:trPr>
          <w:trHeight w:val="1095"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7EF086">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42E58">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C1F59">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D24</w:t>
            </w:r>
            <w:r>
              <w:rPr>
                <w:rFonts w:ascii="Times New Roman" w:hAnsi="Times New Roman" w:eastAsia="仿宋"/>
                <w:color w:val="000000"/>
                <w:kern w:val="0"/>
                <w:szCs w:val="21"/>
              </w:rPr>
              <w:t>网上办事按时完结率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BEE0A">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E68DF">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16C8B">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考查</w:t>
            </w:r>
            <w:r>
              <w:rPr>
                <w:rFonts w:ascii="Times New Roman" w:hAnsi="Times New Roman" w:eastAsia="仿宋"/>
                <w:color w:val="000000"/>
                <w:kern w:val="0"/>
                <w:szCs w:val="21"/>
              </w:rPr>
              <w:t>网上办事按时完结率</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16D1F">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能及时办理网上业务需求，得3分，未按时完成1件扣0.1分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EED85">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100%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2D954">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全年网上业务系统上需求事项及时完成，按照评分标准，得满分。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6444">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r>
      <w:tr w14:paraId="3008F476">
        <w:tblPrEx>
          <w:tblCellMar>
            <w:top w:w="0" w:type="dxa"/>
            <w:left w:w="108" w:type="dxa"/>
            <w:bottom w:w="0" w:type="dxa"/>
            <w:right w:w="108" w:type="dxa"/>
          </w:tblCellMar>
        </w:tblPrEx>
        <w:trPr>
          <w:trHeight w:val="120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B946C3">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3E7F2E">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FE016">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 xml:space="preserve">D25  </w:t>
            </w:r>
            <w:r>
              <w:rPr>
                <w:rFonts w:ascii="Times New Roman" w:hAnsi="Times New Roman" w:eastAsia="仿宋"/>
                <w:color w:val="000000"/>
                <w:kern w:val="0"/>
                <w:szCs w:val="21"/>
              </w:rPr>
              <w:t>12345工单及各类办单办件按时办结率100%、结果满意率9</w:t>
            </w:r>
            <w:r>
              <w:rPr>
                <w:rFonts w:hint="eastAsia" w:ascii="Times New Roman" w:hAnsi="Times New Roman" w:eastAsia="仿宋"/>
                <w:color w:val="000000"/>
                <w:kern w:val="0"/>
                <w:szCs w:val="21"/>
              </w:rPr>
              <w:t>5</w:t>
            </w:r>
            <w:r>
              <w:rPr>
                <w:rFonts w:ascii="Times New Roman" w:hAnsi="Times New Roman" w:eastAsia="仿宋"/>
                <w:color w:val="000000"/>
                <w:kern w:val="0"/>
                <w:szCs w:val="21"/>
              </w:rPr>
              <w:t>%以上</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7383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1DBE5">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100%/9</w:t>
            </w:r>
            <w:r>
              <w:rPr>
                <w:rFonts w:hint="eastAsia" w:ascii="Times New Roman" w:hAnsi="Times New Roman" w:eastAsia="仿宋"/>
                <w:color w:val="000000"/>
                <w:kern w:val="0"/>
                <w:szCs w:val="21"/>
              </w:rPr>
              <w:t>5</w:t>
            </w:r>
            <w:r>
              <w:rPr>
                <w:rFonts w:ascii="Times New Roman" w:hAnsi="Times New Roman" w:eastAsia="仿宋"/>
                <w:color w:val="000000"/>
                <w:kern w:val="0"/>
                <w:szCs w:val="21"/>
              </w:rPr>
              <w:t>%</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7948A">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考查</w:t>
            </w:r>
            <w:r>
              <w:rPr>
                <w:rFonts w:ascii="Times New Roman" w:hAnsi="Times New Roman" w:eastAsia="仿宋"/>
                <w:color w:val="000000"/>
                <w:kern w:val="0"/>
                <w:szCs w:val="21"/>
              </w:rPr>
              <w:t>12345工单及各类办单办件办结是否及时、办理结果是否满意</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89644">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未能及时办理12345工单及各类办单办件1次扣0.1分；信访回复超期或因主观原因导致信访人不满意，1次扣0.1分。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D30CD">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100%/</w:t>
            </w:r>
            <w:r>
              <w:rPr>
                <w:rFonts w:hint="eastAsia" w:ascii="Times New Roman" w:hAnsi="Times New Roman" w:eastAsia="仿宋"/>
                <w:color w:val="000000"/>
                <w:kern w:val="0"/>
                <w:szCs w:val="21"/>
              </w:rPr>
              <w:t>95</w:t>
            </w:r>
            <w:r>
              <w:rPr>
                <w:rFonts w:ascii="Times New Roman" w:hAnsi="Times New Roman" w:eastAsia="仿宋"/>
                <w:color w:val="000000"/>
                <w:kern w:val="0"/>
                <w:szCs w:val="21"/>
              </w:rPr>
              <w:t>%</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0F92F">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2024年及时办结12345工单及各类办单办件共1314件，按时办结率100%，结果满意率96.9%，按照评分标准，得满分。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8AF4D">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r>
      <w:tr w14:paraId="71D01D70">
        <w:tblPrEx>
          <w:tblCellMar>
            <w:top w:w="0" w:type="dxa"/>
            <w:left w:w="108" w:type="dxa"/>
            <w:bottom w:w="0" w:type="dxa"/>
            <w:right w:w="108" w:type="dxa"/>
          </w:tblCellMar>
        </w:tblPrEx>
        <w:trPr>
          <w:trHeight w:val="131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0BB7C4">
            <w:pPr>
              <w:spacing w:line="280" w:lineRule="exact"/>
              <w:jc w:val="center"/>
              <w:rPr>
                <w:rFonts w:ascii="Times New Roman" w:hAnsi="Times New Roman" w:eastAsia="仿宋"/>
                <w:color w:val="000000"/>
                <w:szCs w:val="21"/>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766F9">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D3</w:t>
            </w:r>
            <w:r>
              <w:rPr>
                <w:rFonts w:ascii="Times New Roman" w:hAnsi="Times New Roman" w:eastAsia="仿宋"/>
                <w:color w:val="000000"/>
                <w:kern w:val="0"/>
                <w:szCs w:val="21"/>
              </w:rPr>
              <w:t>可持续发展能力</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A3FFA">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D31</w:t>
            </w:r>
            <w:r>
              <w:rPr>
                <w:rFonts w:ascii="Times New Roman" w:hAnsi="Times New Roman" w:eastAsia="仿宋"/>
                <w:color w:val="000000"/>
                <w:kern w:val="0"/>
                <w:szCs w:val="21"/>
              </w:rPr>
              <w:t>档案库房剩余存储</w:t>
            </w:r>
            <w:r>
              <w:rPr>
                <w:rFonts w:hint="eastAsia" w:ascii="Times New Roman" w:hAnsi="Times New Roman" w:eastAsia="仿宋"/>
                <w:color w:val="000000"/>
                <w:kern w:val="0"/>
                <w:szCs w:val="21"/>
              </w:rPr>
              <w:t>及管理</w:t>
            </w:r>
            <w:r>
              <w:rPr>
                <w:rFonts w:ascii="Times New Roman" w:hAnsi="Times New Roman" w:eastAsia="仿宋"/>
                <w:color w:val="000000"/>
                <w:kern w:val="0"/>
                <w:szCs w:val="21"/>
              </w:rPr>
              <w:t>能力</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1ECC7">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CCF0F">
            <w:pPr>
              <w:widowControl/>
              <w:spacing w:line="280" w:lineRule="exact"/>
              <w:jc w:val="left"/>
              <w:textAlignment w:val="center"/>
              <w:rPr>
                <w:rFonts w:ascii="Times New Roman" w:hAnsi="Times New Roman"/>
                <w:color w:val="000000"/>
                <w:szCs w:val="21"/>
              </w:rPr>
            </w:pPr>
            <w:r>
              <w:rPr>
                <w:rFonts w:ascii="Times New Roman" w:hAnsi="Times New Roman"/>
                <w:color w:val="000000"/>
                <w:kern w:val="0"/>
                <w:szCs w:val="21"/>
              </w:rPr>
              <w:t>≥2000</w:t>
            </w:r>
            <w:r>
              <w:rPr>
                <w:rFonts w:hint="eastAsia" w:ascii="Times New Roman" w:hAnsi="Times New Roman"/>
                <w:color w:val="000000"/>
                <w:kern w:val="0"/>
                <w:szCs w:val="21"/>
              </w:rPr>
              <w:t>0</w:t>
            </w:r>
            <w:r>
              <w:rPr>
                <w:rFonts w:ascii="Times New Roman" w:hAnsi="Times New Roman"/>
                <w:color w:val="000000"/>
                <w:kern w:val="0"/>
                <w:szCs w:val="21"/>
              </w:rPr>
              <w:t>份</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93693">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考查</w:t>
            </w:r>
            <w:r>
              <w:rPr>
                <w:rFonts w:ascii="Times New Roman" w:hAnsi="Times New Roman" w:eastAsia="仿宋"/>
                <w:color w:val="000000"/>
                <w:kern w:val="0"/>
                <w:szCs w:val="21"/>
              </w:rPr>
              <w:t>档案库房剩余存储能力</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6C2A7">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档案库房剩余存储能力≥</w:t>
            </w:r>
            <w:r>
              <w:rPr>
                <w:rFonts w:hint="eastAsia" w:ascii="Times New Roman" w:hAnsi="Times New Roman" w:eastAsia="仿宋"/>
                <w:color w:val="000000"/>
                <w:kern w:val="0"/>
                <w:szCs w:val="21"/>
              </w:rPr>
              <w:t>20000</w:t>
            </w:r>
            <w:r>
              <w:rPr>
                <w:rFonts w:ascii="Times New Roman" w:hAnsi="Times New Roman" w:eastAsia="仿宋"/>
                <w:color w:val="000000"/>
                <w:kern w:val="0"/>
                <w:szCs w:val="21"/>
              </w:rPr>
              <w:t>份，得3分，每减少100</w:t>
            </w:r>
            <w:r>
              <w:rPr>
                <w:rFonts w:hint="eastAsia" w:ascii="Times New Roman" w:hAnsi="Times New Roman" w:eastAsia="仿宋"/>
                <w:color w:val="000000"/>
                <w:kern w:val="0"/>
                <w:szCs w:val="21"/>
              </w:rPr>
              <w:t>0</w:t>
            </w:r>
            <w:r>
              <w:rPr>
                <w:rFonts w:ascii="Times New Roman" w:hAnsi="Times New Roman" w:eastAsia="仿宋"/>
                <w:color w:val="000000"/>
                <w:kern w:val="0"/>
                <w:szCs w:val="21"/>
              </w:rPr>
              <w:t>份，扣0.2分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5118D">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大约</w:t>
            </w:r>
            <w:r>
              <w:rPr>
                <w:rFonts w:hint="eastAsia" w:ascii="Times New Roman" w:hAnsi="Times New Roman" w:eastAsia="仿宋"/>
                <w:color w:val="000000"/>
                <w:kern w:val="0"/>
                <w:szCs w:val="21"/>
              </w:rPr>
              <w:t>20000</w:t>
            </w:r>
            <w:r>
              <w:rPr>
                <w:rFonts w:ascii="Times New Roman" w:hAnsi="Times New Roman" w:eastAsia="仿宋"/>
                <w:color w:val="000000"/>
                <w:kern w:val="0"/>
                <w:szCs w:val="21"/>
              </w:rPr>
              <w:t>份</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9232E">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20</w:t>
            </w:r>
            <w:r>
              <w:rPr>
                <w:rFonts w:hint="eastAsia" w:ascii="Times New Roman" w:hAnsi="Times New Roman" w:eastAsia="仿宋"/>
                <w:color w:val="000000"/>
                <w:kern w:val="0"/>
                <w:szCs w:val="21"/>
              </w:rPr>
              <w:t>24</w:t>
            </w:r>
            <w:r>
              <w:rPr>
                <w:rFonts w:ascii="Times New Roman" w:hAnsi="Times New Roman" w:eastAsia="仿宋"/>
                <w:color w:val="000000"/>
                <w:kern w:val="0"/>
                <w:szCs w:val="21"/>
              </w:rPr>
              <w:t>年末档案库房剩余存储能力大约</w:t>
            </w:r>
            <w:r>
              <w:rPr>
                <w:rFonts w:hint="eastAsia" w:ascii="Times New Roman" w:hAnsi="Times New Roman" w:eastAsia="仿宋"/>
                <w:color w:val="000000"/>
                <w:kern w:val="0"/>
                <w:szCs w:val="21"/>
              </w:rPr>
              <w:t>20000</w:t>
            </w:r>
            <w:r>
              <w:rPr>
                <w:rFonts w:ascii="Times New Roman" w:hAnsi="Times New Roman" w:eastAsia="仿宋"/>
                <w:color w:val="000000"/>
                <w:kern w:val="0"/>
                <w:szCs w:val="21"/>
              </w:rPr>
              <w:t>份，</w:t>
            </w:r>
            <w:r>
              <w:rPr>
                <w:rFonts w:hint="eastAsia" w:ascii="Times New Roman" w:hAnsi="Times New Roman" w:eastAsia="仿宋"/>
                <w:color w:val="000000"/>
                <w:kern w:val="0"/>
                <w:szCs w:val="21"/>
              </w:rPr>
              <w:t>得满分。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A99C8">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szCs w:val="21"/>
              </w:rPr>
              <w:t>3</w:t>
            </w:r>
          </w:p>
        </w:tc>
      </w:tr>
      <w:tr w14:paraId="600C81BD">
        <w:tblPrEx>
          <w:tblCellMar>
            <w:top w:w="0" w:type="dxa"/>
            <w:left w:w="108" w:type="dxa"/>
            <w:bottom w:w="0" w:type="dxa"/>
            <w:right w:w="108" w:type="dxa"/>
          </w:tblCellMar>
        </w:tblPrEx>
        <w:trPr>
          <w:trHeight w:val="116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EC8863">
            <w:pPr>
              <w:spacing w:line="280" w:lineRule="exact"/>
              <w:jc w:val="center"/>
              <w:rPr>
                <w:rFonts w:ascii="Times New Roman" w:hAnsi="Times New Roman" w:eastAsia="仿宋"/>
                <w:color w:val="000000"/>
                <w:szCs w:val="21"/>
              </w:rPr>
            </w:pP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64C657">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D4</w:t>
            </w:r>
            <w:r>
              <w:rPr>
                <w:rFonts w:ascii="Times New Roman" w:hAnsi="Times New Roman" w:eastAsia="仿宋"/>
                <w:color w:val="000000"/>
                <w:kern w:val="0"/>
                <w:szCs w:val="21"/>
              </w:rPr>
              <w:t>满意度</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2C695">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D41</w:t>
            </w:r>
            <w:r>
              <w:rPr>
                <w:rFonts w:ascii="Times New Roman" w:hAnsi="Times New Roman" w:eastAsia="仿宋"/>
                <w:color w:val="000000"/>
                <w:kern w:val="0"/>
                <w:szCs w:val="21"/>
              </w:rPr>
              <w:t>档案代理人员使用需求满意率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32135">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37E2B">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9</w:t>
            </w:r>
            <w:r>
              <w:rPr>
                <w:rFonts w:hint="eastAsia" w:ascii="Times New Roman" w:hAnsi="Times New Roman" w:eastAsia="仿宋"/>
                <w:color w:val="000000"/>
                <w:kern w:val="0"/>
                <w:szCs w:val="21"/>
              </w:rPr>
              <w:t>9</w:t>
            </w:r>
            <w:r>
              <w:rPr>
                <w:rFonts w:ascii="Times New Roman" w:hAnsi="Times New Roman" w:eastAsia="仿宋"/>
                <w:color w:val="000000"/>
                <w:kern w:val="0"/>
                <w:szCs w:val="21"/>
              </w:rPr>
              <w:t>%</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B6488">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考查</w:t>
            </w:r>
            <w:r>
              <w:rPr>
                <w:rFonts w:ascii="Times New Roman" w:hAnsi="Times New Roman" w:eastAsia="仿宋"/>
                <w:color w:val="000000"/>
                <w:kern w:val="0"/>
                <w:szCs w:val="21"/>
              </w:rPr>
              <w:t>档案代理人员使用满意率</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DCE94">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能否满足档案代理人员使用需求，满足得2.5分，每接到1起有效不满意投诉，扣0.1分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E4FE">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9</w:t>
            </w:r>
            <w:r>
              <w:rPr>
                <w:rFonts w:hint="eastAsia" w:ascii="Times New Roman" w:hAnsi="Times New Roman" w:eastAsia="仿宋"/>
                <w:color w:val="000000"/>
                <w:kern w:val="0"/>
                <w:szCs w:val="21"/>
              </w:rPr>
              <w:t>9</w:t>
            </w:r>
            <w:r>
              <w:rPr>
                <w:rFonts w:ascii="Times New Roman" w:hAnsi="Times New Roman" w:eastAsia="仿宋"/>
                <w:color w:val="000000"/>
                <w:kern w:val="0"/>
                <w:szCs w:val="21"/>
              </w:rPr>
              <w:t>%</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2A200">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能满足档案代理人员使用需求，得2分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04C89">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r>
      <w:tr w14:paraId="70D8FB71">
        <w:tblPrEx>
          <w:tblCellMar>
            <w:top w:w="0" w:type="dxa"/>
            <w:left w:w="108" w:type="dxa"/>
            <w:bottom w:w="0" w:type="dxa"/>
            <w:right w:w="108" w:type="dxa"/>
          </w:tblCellMar>
        </w:tblPrEx>
        <w:trPr>
          <w:trHeight w:val="122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048976">
            <w:pPr>
              <w:spacing w:line="280" w:lineRule="exact"/>
              <w:jc w:val="center"/>
              <w:rPr>
                <w:rFonts w:ascii="Times New Roman" w:hAnsi="Times New Roman" w:eastAsia="仿宋"/>
                <w:color w:val="000000"/>
                <w:szCs w:val="21"/>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4F89E">
            <w:pPr>
              <w:spacing w:line="280" w:lineRule="exact"/>
              <w:jc w:val="center"/>
              <w:rPr>
                <w:rFonts w:ascii="Times New Roman" w:hAnsi="Times New Roman" w:eastAsia="仿宋"/>
                <w:color w:val="000000"/>
                <w:szCs w:val="21"/>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ED18E">
            <w:pPr>
              <w:widowControl/>
              <w:spacing w:line="280" w:lineRule="exact"/>
              <w:jc w:val="left"/>
              <w:textAlignment w:val="center"/>
              <w:rPr>
                <w:rFonts w:ascii="Times New Roman" w:hAnsi="Times New Roman" w:eastAsia="仿宋"/>
                <w:color w:val="000000"/>
                <w:szCs w:val="21"/>
              </w:rPr>
            </w:pPr>
            <w:bookmarkStart w:id="1" w:name="_Hlk106705577"/>
            <w:r>
              <w:rPr>
                <w:rFonts w:hint="eastAsia" w:ascii="Times New Roman" w:hAnsi="Times New Roman" w:eastAsia="仿宋"/>
                <w:color w:val="000000"/>
                <w:kern w:val="0"/>
                <w:szCs w:val="21"/>
              </w:rPr>
              <w:t>D42</w:t>
            </w:r>
            <w:r>
              <w:rPr>
                <w:rFonts w:ascii="Times New Roman" w:hAnsi="Times New Roman" w:eastAsia="仿宋"/>
                <w:color w:val="000000"/>
                <w:kern w:val="0"/>
                <w:szCs w:val="21"/>
              </w:rPr>
              <w:t>招聘会服务企业满意率</w:t>
            </w:r>
            <w:bookmarkEnd w:id="1"/>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7CA8">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2</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756FC">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90%</w:t>
            </w: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2C6D">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考查</w:t>
            </w:r>
            <w:r>
              <w:rPr>
                <w:rFonts w:ascii="Times New Roman" w:hAnsi="Times New Roman" w:eastAsia="仿宋"/>
                <w:color w:val="000000"/>
                <w:kern w:val="0"/>
                <w:szCs w:val="21"/>
              </w:rPr>
              <w:t>招聘会服务企业满意率</w:t>
            </w: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9A58">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能否满足招聘企业服务需求，满足得2分，否则，根据服务内容适当扣分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93613">
            <w:pPr>
              <w:widowControl/>
              <w:spacing w:line="280" w:lineRule="exact"/>
              <w:jc w:val="center"/>
              <w:textAlignment w:val="center"/>
              <w:rPr>
                <w:rFonts w:ascii="Times New Roman" w:hAnsi="Times New Roman" w:eastAsia="仿宋"/>
                <w:color w:val="000000"/>
                <w:szCs w:val="21"/>
              </w:rPr>
            </w:pPr>
            <w:r>
              <w:rPr>
                <w:rFonts w:ascii="Times New Roman" w:hAnsi="Times New Roman" w:eastAsia="仿宋"/>
                <w:color w:val="000000"/>
                <w:kern w:val="0"/>
                <w:szCs w:val="21"/>
              </w:rPr>
              <w:t>90%</w:t>
            </w: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A42C">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全年未产生针对招聘服务不满意的投诉反馈，但还需进一步细化根据企业需求提供更好的公共服务，</w:t>
            </w:r>
            <w:r>
              <w:rPr>
                <w:rFonts w:hint="eastAsia" w:ascii="Times New Roman" w:hAnsi="Times New Roman" w:eastAsia="仿宋"/>
                <w:color w:val="000000"/>
                <w:kern w:val="0"/>
                <w:szCs w:val="21"/>
              </w:rPr>
              <w:t>酌情扣0.5分。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5247">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szCs w:val="21"/>
              </w:rPr>
              <w:t>1.5</w:t>
            </w:r>
          </w:p>
        </w:tc>
      </w:tr>
      <w:tr w14:paraId="4C52D796">
        <w:tblPrEx>
          <w:tblCellMar>
            <w:top w:w="0" w:type="dxa"/>
            <w:left w:w="108" w:type="dxa"/>
            <w:bottom w:w="0" w:type="dxa"/>
            <w:right w:w="108" w:type="dxa"/>
          </w:tblCellMar>
        </w:tblPrEx>
        <w:trPr>
          <w:trHeight w:val="600" w:hRule="atLeast"/>
        </w:trPr>
        <w:tc>
          <w:tcPr>
            <w:tcW w:w="320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AC96C37">
            <w:pPr>
              <w:widowControl/>
              <w:spacing w:line="280" w:lineRule="exact"/>
              <w:jc w:val="center"/>
              <w:textAlignment w:val="center"/>
              <w:rPr>
                <w:rFonts w:ascii="Times New Roman" w:hAnsi="Times New Roman" w:eastAsia="仿宋"/>
                <w:b/>
                <w:bCs/>
                <w:color w:val="000000"/>
                <w:szCs w:val="21"/>
              </w:rPr>
            </w:pPr>
            <w:r>
              <w:rPr>
                <w:rFonts w:ascii="Times New Roman" w:hAnsi="Times New Roman" w:eastAsia="仿宋"/>
                <w:b/>
                <w:bCs/>
                <w:color w:val="000000"/>
                <w:kern w:val="0"/>
                <w:szCs w:val="21"/>
              </w:rPr>
              <w:t>合计</w:t>
            </w:r>
          </w:p>
        </w:tc>
        <w:tc>
          <w:tcPr>
            <w:tcW w:w="6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FC8FD5">
            <w:pPr>
              <w:widowControl/>
              <w:spacing w:line="280" w:lineRule="exact"/>
              <w:jc w:val="center"/>
              <w:textAlignment w:val="center"/>
              <w:rPr>
                <w:rFonts w:ascii="Times New Roman" w:hAnsi="Times New Roman" w:eastAsia="仿宋"/>
                <w:b/>
                <w:bCs/>
                <w:color w:val="000000"/>
                <w:szCs w:val="21"/>
              </w:rPr>
            </w:pPr>
            <w:r>
              <w:rPr>
                <w:rFonts w:ascii="Times New Roman" w:hAnsi="Times New Roman" w:eastAsia="仿宋"/>
                <w:b/>
                <w:bCs/>
                <w:color w:val="000000"/>
                <w:kern w:val="0"/>
                <w:szCs w:val="21"/>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64721">
            <w:pPr>
              <w:spacing w:line="280" w:lineRule="exact"/>
              <w:rPr>
                <w:rFonts w:ascii="Times New Roman" w:hAnsi="Times New Roman" w:eastAsia="仿宋"/>
                <w:b/>
                <w:bCs/>
                <w:color w:val="000000"/>
                <w:szCs w:val="21"/>
              </w:rPr>
            </w:pPr>
          </w:p>
        </w:tc>
        <w:tc>
          <w:tcPr>
            <w:tcW w:w="22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9039E2">
            <w:pPr>
              <w:spacing w:line="280" w:lineRule="exact"/>
              <w:rPr>
                <w:rFonts w:ascii="Times New Roman" w:hAnsi="Times New Roman" w:eastAsia="仿宋"/>
                <w:color w:val="000000"/>
                <w:szCs w:val="21"/>
              </w:rPr>
            </w:pPr>
          </w:p>
        </w:tc>
        <w:tc>
          <w:tcPr>
            <w:tcW w:w="35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CB9213">
            <w:pPr>
              <w:spacing w:line="280" w:lineRule="exact"/>
              <w:jc w:val="center"/>
              <w:rPr>
                <w:rFonts w:ascii="Times New Roman" w:hAnsi="Times New Roman" w:eastAsia="仿宋"/>
                <w:color w:val="000000"/>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4E754E">
            <w:pPr>
              <w:spacing w:line="280" w:lineRule="exact"/>
              <w:jc w:val="center"/>
              <w:rPr>
                <w:rFonts w:ascii="Times New Roman" w:hAnsi="Times New Roman" w:eastAsia="仿宋"/>
                <w:color w:val="000000"/>
                <w:szCs w:val="21"/>
              </w:rPr>
            </w:pP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3061D">
            <w:pPr>
              <w:spacing w:line="280" w:lineRule="exact"/>
              <w:jc w:val="center"/>
              <w:rPr>
                <w:rFonts w:ascii="Times New Roman" w:hAnsi="Times New Roman" w:eastAsia="仿宋"/>
                <w:color w:val="000000"/>
                <w:szCs w:val="21"/>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A6165F">
            <w:pPr>
              <w:widowControl/>
              <w:spacing w:line="280" w:lineRule="exact"/>
              <w:jc w:val="center"/>
              <w:textAlignment w:val="center"/>
              <w:rPr>
                <w:rFonts w:ascii="Times New Roman" w:hAnsi="Times New Roman" w:eastAsia="仿宋"/>
                <w:b/>
                <w:color w:val="000000"/>
                <w:szCs w:val="21"/>
              </w:rPr>
            </w:pPr>
            <w:r>
              <w:rPr>
                <w:rFonts w:hint="eastAsia" w:ascii="Times New Roman" w:hAnsi="Times New Roman" w:eastAsia="仿宋"/>
                <w:b/>
                <w:color w:val="000000"/>
                <w:szCs w:val="21"/>
              </w:rPr>
              <w:t>97.5</w:t>
            </w:r>
          </w:p>
        </w:tc>
      </w:tr>
      <w:tr w14:paraId="19869A5C">
        <w:tblPrEx>
          <w:tblCellMar>
            <w:top w:w="0" w:type="dxa"/>
            <w:left w:w="108" w:type="dxa"/>
            <w:bottom w:w="0" w:type="dxa"/>
            <w:right w:w="108" w:type="dxa"/>
          </w:tblCellMar>
        </w:tblPrEx>
        <w:trPr>
          <w:trHeight w:val="1970" w:hRule="atLeast"/>
        </w:trPr>
        <w:tc>
          <w:tcPr>
            <w:tcW w:w="7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632302">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E</w:t>
            </w:r>
            <w:r>
              <w:rPr>
                <w:rFonts w:ascii="Times New Roman" w:hAnsi="Times New Roman" w:eastAsia="仿宋"/>
                <w:color w:val="000000"/>
                <w:kern w:val="0"/>
                <w:szCs w:val="21"/>
              </w:rPr>
              <w:t>加减分项（≤5分）</w:t>
            </w:r>
          </w:p>
        </w:tc>
        <w:tc>
          <w:tcPr>
            <w:tcW w:w="8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609067">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E</w:t>
            </w:r>
            <w:r>
              <w:rPr>
                <w:rFonts w:ascii="Times New Roman" w:hAnsi="Times New Roman" w:eastAsia="仿宋"/>
                <w:color w:val="000000"/>
                <w:kern w:val="0"/>
                <w:szCs w:val="21"/>
              </w:rPr>
              <w:t>1加分项</w:t>
            </w: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BFEFC5">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E</w:t>
            </w:r>
            <w:r>
              <w:rPr>
                <w:rFonts w:ascii="Times New Roman" w:hAnsi="Times New Roman" w:eastAsia="仿宋"/>
                <w:color w:val="000000"/>
                <w:kern w:val="0"/>
                <w:szCs w:val="21"/>
              </w:rPr>
              <w:t>11 受到本级与上级政府奖励</w:t>
            </w:r>
          </w:p>
        </w:tc>
        <w:tc>
          <w:tcPr>
            <w:tcW w:w="6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6130D">
            <w:pPr>
              <w:spacing w:line="280" w:lineRule="exact"/>
              <w:jc w:val="center"/>
              <w:rPr>
                <w:rFonts w:ascii="Times New Roman" w:hAnsi="Times New Roman" w:eastAsia="仿宋"/>
                <w:color w:val="000000"/>
                <w:szCs w:val="21"/>
              </w:rPr>
            </w:pPr>
            <w:r>
              <w:rPr>
                <w:rFonts w:ascii="Times New Roman" w:hAnsi="Times New Roman" w:eastAsia="仿宋"/>
                <w:color w:val="000000"/>
                <w:szCs w:val="21"/>
              </w:rPr>
              <w:t>无</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E67D32">
            <w:pPr>
              <w:spacing w:line="280" w:lineRule="exact"/>
              <w:rPr>
                <w:rFonts w:ascii="Times New Roman" w:hAnsi="Times New Roman" w:eastAsia="仿宋"/>
                <w:color w:val="000000"/>
                <w:szCs w:val="21"/>
              </w:rPr>
            </w:pPr>
          </w:p>
        </w:tc>
        <w:tc>
          <w:tcPr>
            <w:tcW w:w="22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F50836">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部门（单位）受到国务院、省级政府、市级政府嘉奖</w:t>
            </w:r>
          </w:p>
        </w:tc>
        <w:tc>
          <w:tcPr>
            <w:tcW w:w="35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D79B58">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受到国务院嘉奖加3分，受到省级嘉奖加2分，得到市级考核一等奖加1分，得到市级考核二等奖加0.5分；同一项工作不累计加分，最高得5分。</w:t>
            </w:r>
          </w:p>
        </w:tc>
        <w:tc>
          <w:tcPr>
            <w:tcW w:w="12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3A4F2B">
            <w:pPr>
              <w:spacing w:line="280" w:lineRule="exact"/>
              <w:jc w:val="center"/>
              <w:rPr>
                <w:rFonts w:ascii="Times New Roman" w:hAnsi="Times New Roman" w:eastAsia="仿宋"/>
                <w:color w:val="000000"/>
                <w:szCs w:val="21"/>
              </w:rPr>
            </w:pPr>
          </w:p>
        </w:tc>
        <w:tc>
          <w:tcPr>
            <w:tcW w:w="29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378447">
            <w:pPr>
              <w:spacing w:line="280" w:lineRule="exact"/>
              <w:jc w:val="left"/>
              <w:rPr>
                <w:rFonts w:ascii="Times New Roman" w:hAnsi="Times New Roman" w:eastAsia="仿宋"/>
                <w:color w:val="000000"/>
                <w:szCs w:val="21"/>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E484FE">
            <w:pPr>
              <w:spacing w:line="280" w:lineRule="exact"/>
              <w:jc w:val="center"/>
              <w:rPr>
                <w:rFonts w:ascii="Times New Roman" w:hAnsi="Times New Roman" w:eastAsia="仿宋"/>
                <w:color w:val="000000"/>
                <w:szCs w:val="21"/>
              </w:rPr>
            </w:pPr>
          </w:p>
        </w:tc>
      </w:tr>
      <w:tr w14:paraId="1A427D26">
        <w:tblPrEx>
          <w:tblCellMar>
            <w:top w:w="0" w:type="dxa"/>
            <w:left w:w="108" w:type="dxa"/>
            <w:bottom w:w="0" w:type="dxa"/>
            <w:right w:w="108" w:type="dxa"/>
          </w:tblCellMar>
        </w:tblPrEx>
        <w:trPr>
          <w:trHeight w:val="2300" w:hRule="atLeast"/>
        </w:trPr>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85EF50">
            <w:pPr>
              <w:spacing w:line="280" w:lineRule="exact"/>
              <w:jc w:val="center"/>
              <w:rPr>
                <w:rFonts w:ascii="Times New Roman" w:hAnsi="Times New Roman" w:eastAsia="仿宋"/>
                <w:color w:val="000000"/>
                <w:szCs w:val="21"/>
              </w:rPr>
            </w:pPr>
          </w:p>
        </w:tc>
        <w:tc>
          <w:tcPr>
            <w:tcW w:w="8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B7E409">
            <w:pPr>
              <w:widowControl/>
              <w:spacing w:line="280" w:lineRule="exact"/>
              <w:jc w:val="left"/>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E</w:t>
            </w:r>
            <w:r>
              <w:rPr>
                <w:rFonts w:ascii="Times New Roman" w:hAnsi="Times New Roman" w:eastAsia="仿宋"/>
                <w:color w:val="000000"/>
                <w:kern w:val="0"/>
                <w:szCs w:val="21"/>
              </w:rPr>
              <w:t>2减分项</w:t>
            </w: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EB558">
            <w:pPr>
              <w:widowControl/>
              <w:spacing w:line="280" w:lineRule="exact"/>
              <w:jc w:val="center"/>
              <w:textAlignment w:val="center"/>
              <w:rPr>
                <w:rFonts w:ascii="Times New Roman" w:hAnsi="Times New Roman" w:eastAsia="仿宋"/>
                <w:color w:val="000000"/>
                <w:szCs w:val="21"/>
              </w:rPr>
            </w:pPr>
            <w:r>
              <w:rPr>
                <w:rFonts w:hint="eastAsia" w:ascii="Times New Roman" w:hAnsi="Times New Roman" w:eastAsia="仿宋"/>
                <w:color w:val="000000"/>
                <w:kern w:val="0"/>
                <w:szCs w:val="21"/>
              </w:rPr>
              <w:t>E</w:t>
            </w:r>
            <w:r>
              <w:rPr>
                <w:rFonts w:ascii="Times New Roman" w:hAnsi="Times New Roman" w:eastAsia="仿宋"/>
                <w:color w:val="000000"/>
                <w:kern w:val="0"/>
                <w:szCs w:val="21"/>
              </w:rPr>
              <w:t>21发生重大安全责任事故数和刑事案件数</w:t>
            </w:r>
          </w:p>
        </w:tc>
        <w:tc>
          <w:tcPr>
            <w:tcW w:w="6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185A1A">
            <w:pPr>
              <w:spacing w:line="280" w:lineRule="exact"/>
              <w:jc w:val="center"/>
              <w:rPr>
                <w:rFonts w:ascii="Times New Roman" w:hAnsi="Times New Roman" w:eastAsia="仿宋"/>
                <w:color w:val="000000"/>
                <w:szCs w:val="21"/>
              </w:rPr>
            </w:pPr>
            <w:r>
              <w:rPr>
                <w:rFonts w:ascii="Times New Roman" w:hAnsi="Times New Roman" w:eastAsia="仿宋"/>
                <w:color w:val="000000"/>
                <w:szCs w:val="21"/>
              </w:rPr>
              <w:t>无</w:t>
            </w:r>
          </w:p>
        </w:tc>
        <w:tc>
          <w:tcPr>
            <w:tcW w:w="7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13189B">
            <w:pPr>
              <w:spacing w:line="280" w:lineRule="exact"/>
              <w:rPr>
                <w:rFonts w:ascii="Times New Roman" w:hAnsi="Times New Roman" w:eastAsia="仿宋"/>
                <w:color w:val="000000"/>
                <w:szCs w:val="21"/>
              </w:rPr>
            </w:pPr>
          </w:p>
        </w:tc>
        <w:tc>
          <w:tcPr>
            <w:tcW w:w="22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FC9015">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部门（单位）或工作人员违法违纪</w:t>
            </w:r>
          </w:p>
        </w:tc>
        <w:tc>
          <w:tcPr>
            <w:tcW w:w="35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AC25D">
            <w:pPr>
              <w:widowControl/>
              <w:spacing w:line="280" w:lineRule="exact"/>
              <w:jc w:val="left"/>
              <w:textAlignment w:val="center"/>
              <w:rPr>
                <w:rFonts w:ascii="Times New Roman" w:hAnsi="Times New Roman" w:eastAsia="仿宋"/>
                <w:color w:val="000000"/>
                <w:kern w:val="0"/>
                <w:szCs w:val="21"/>
              </w:rPr>
            </w:pPr>
            <w:r>
              <w:rPr>
                <w:rFonts w:ascii="Times New Roman" w:hAnsi="Times New Roman" w:eastAsia="仿宋"/>
                <w:color w:val="000000"/>
                <w:kern w:val="0"/>
                <w:szCs w:val="21"/>
              </w:rPr>
              <w:t>①发生重点安全责任事故数1次及以上，扣5分；</w:t>
            </w:r>
          </w:p>
          <w:p w14:paraId="2C7228AD">
            <w:pPr>
              <w:widowControl/>
              <w:spacing w:line="280" w:lineRule="exact"/>
              <w:jc w:val="left"/>
              <w:textAlignment w:val="center"/>
              <w:rPr>
                <w:rFonts w:ascii="Times New Roman" w:hAnsi="Times New Roman" w:eastAsia="仿宋"/>
                <w:color w:val="000000"/>
                <w:szCs w:val="21"/>
              </w:rPr>
            </w:pPr>
            <w:r>
              <w:rPr>
                <w:rFonts w:ascii="Times New Roman" w:hAnsi="Times New Roman" w:eastAsia="仿宋"/>
                <w:color w:val="000000"/>
                <w:kern w:val="0"/>
                <w:szCs w:val="21"/>
              </w:rPr>
              <w:t>②部门本级机关工作人员发生1次违法违纪，扣2分；部门下属单位工作人员发生1次违法违纪，扣1分。扣完5分为止。</w:t>
            </w:r>
          </w:p>
        </w:tc>
        <w:tc>
          <w:tcPr>
            <w:tcW w:w="12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DD7E8A">
            <w:pPr>
              <w:spacing w:line="280" w:lineRule="exact"/>
              <w:jc w:val="center"/>
              <w:rPr>
                <w:rFonts w:ascii="Times New Roman" w:hAnsi="Times New Roman" w:eastAsia="仿宋"/>
                <w:color w:val="000000"/>
                <w:szCs w:val="21"/>
              </w:rPr>
            </w:pPr>
          </w:p>
        </w:tc>
        <w:tc>
          <w:tcPr>
            <w:tcW w:w="29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5FEE6E">
            <w:pPr>
              <w:spacing w:line="280" w:lineRule="exact"/>
              <w:jc w:val="left"/>
              <w:rPr>
                <w:rFonts w:ascii="Times New Roman" w:hAnsi="Times New Roman" w:eastAsia="仿宋"/>
                <w:color w:val="000000"/>
                <w:szCs w:val="21"/>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065F44">
            <w:pPr>
              <w:spacing w:line="280" w:lineRule="exact"/>
              <w:jc w:val="center"/>
              <w:rPr>
                <w:rFonts w:ascii="Times New Roman" w:hAnsi="Times New Roman" w:eastAsia="仿宋"/>
                <w:color w:val="000000"/>
                <w:szCs w:val="21"/>
              </w:rPr>
            </w:pPr>
          </w:p>
        </w:tc>
      </w:tr>
      <w:bookmarkEnd w:id="0"/>
      <w:tr w14:paraId="7BAC0C05">
        <w:tblPrEx>
          <w:tblCellMar>
            <w:top w:w="0" w:type="dxa"/>
            <w:left w:w="108" w:type="dxa"/>
            <w:bottom w:w="0" w:type="dxa"/>
            <w:right w:w="108" w:type="dxa"/>
          </w:tblCellMar>
        </w:tblPrEx>
        <w:trPr>
          <w:trHeight w:val="540" w:hRule="atLeast"/>
        </w:trPr>
        <w:tc>
          <w:tcPr>
            <w:tcW w:w="32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AABD97">
            <w:pPr>
              <w:widowControl/>
              <w:spacing w:line="280" w:lineRule="exact"/>
              <w:jc w:val="center"/>
              <w:textAlignment w:val="center"/>
              <w:rPr>
                <w:rFonts w:ascii="Times New Roman" w:hAnsi="Times New Roman" w:eastAsia="仿宋"/>
                <w:b/>
                <w:bCs/>
                <w:color w:val="000000"/>
                <w:szCs w:val="21"/>
              </w:rPr>
            </w:pPr>
            <w:r>
              <w:rPr>
                <w:rFonts w:ascii="Times New Roman" w:hAnsi="Times New Roman" w:eastAsia="仿宋"/>
                <w:b/>
                <w:bCs/>
                <w:color w:val="000000"/>
                <w:kern w:val="0"/>
                <w:szCs w:val="21"/>
              </w:rPr>
              <w:t>共计</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D1C77">
            <w:pPr>
              <w:spacing w:line="280" w:lineRule="exact"/>
              <w:jc w:val="center"/>
              <w:rPr>
                <w:rFonts w:ascii="Times New Roman" w:hAnsi="Times New Roman" w:eastAsia="仿宋"/>
                <w:b/>
                <w:bCs/>
                <w:color w:val="000000"/>
                <w:szCs w:val="21"/>
              </w:rPr>
            </w:pPr>
            <w:r>
              <w:rPr>
                <w:rFonts w:ascii="Times New Roman" w:hAnsi="Times New Roman" w:eastAsia="仿宋"/>
                <w:b/>
                <w:bCs/>
                <w:color w:val="000000"/>
                <w:szCs w:val="21"/>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15F75">
            <w:pPr>
              <w:spacing w:line="280" w:lineRule="exact"/>
              <w:rPr>
                <w:rFonts w:ascii="Times New Roman" w:hAnsi="Times New Roman" w:eastAsia="仿宋"/>
                <w:b/>
                <w:bCs/>
                <w:color w:val="000000"/>
                <w:szCs w:val="21"/>
              </w:rPr>
            </w:pPr>
          </w:p>
        </w:tc>
        <w:tc>
          <w:tcPr>
            <w:tcW w:w="2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AAAD3">
            <w:pPr>
              <w:spacing w:line="280" w:lineRule="exact"/>
              <w:jc w:val="center"/>
              <w:rPr>
                <w:rFonts w:ascii="Times New Roman" w:hAnsi="Times New Roman" w:eastAsia="仿宋"/>
                <w:color w:val="000000"/>
                <w:szCs w:val="21"/>
              </w:rPr>
            </w:pPr>
          </w:p>
        </w:tc>
        <w:tc>
          <w:tcPr>
            <w:tcW w:w="3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9FDA">
            <w:pPr>
              <w:spacing w:line="280" w:lineRule="exact"/>
              <w:jc w:val="center"/>
              <w:rPr>
                <w:rFonts w:ascii="Times New Roman" w:hAnsi="Times New Roman" w:eastAsia="仿宋"/>
                <w:color w:val="000000"/>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57171">
            <w:pPr>
              <w:spacing w:line="280" w:lineRule="exact"/>
              <w:jc w:val="center"/>
              <w:rPr>
                <w:rFonts w:ascii="Times New Roman" w:hAnsi="Times New Roman" w:eastAsia="仿宋"/>
                <w:color w:val="000000"/>
                <w:szCs w:val="21"/>
              </w:rPr>
            </w:pPr>
          </w:p>
        </w:tc>
        <w:tc>
          <w:tcPr>
            <w:tcW w:w="2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C2F2B">
            <w:pPr>
              <w:spacing w:line="280" w:lineRule="exact"/>
              <w:jc w:val="center"/>
              <w:rPr>
                <w:rFonts w:ascii="Times New Roman" w:hAnsi="Times New Roman" w:eastAsia="仿宋"/>
                <w:color w:val="000000"/>
                <w:szCs w:val="21"/>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C94BE0">
            <w:pPr>
              <w:spacing w:line="280" w:lineRule="exact"/>
              <w:jc w:val="center"/>
              <w:rPr>
                <w:rFonts w:ascii="Times New Roman" w:hAnsi="Times New Roman" w:eastAsia="仿宋"/>
                <w:b/>
                <w:color w:val="000000"/>
                <w:szCs w:val="21"/>
              </w:rPr>
            </w:pPr>
            <w:r>
              <w:rPr>
                <w:rFonts w:hint="eastAsia" w:ascii="Times New Roman" w:hAnsi="Times New Roman" w:eastAsia="仿宋"/>
                <w:b/>
                <w:color w:val="000000"/>
                <w:szCs w:val="21"/>
              </w:rPr>
              <w:t>97.5</w:t>
            </w:r>
          </w:p>
        </w:tc>
      </w:tr>
    </w:tbl>
    <w:p w14:paraId="1FA91899"/>
    <w:sectPr>
      <w:headerReference r:id="rId4" w:type="default"/>
      <w:footerReference r:id="rId5" w:type="default"/>
      <w:pgSz w:w="16838" w:h="11906" w:orient="landscape"/>
      <w:pgMar w:top="851" w:right="1440" w:bottom="567"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429469"/>
    </w:sdtPr>
    <w:sdtEndPr>
      <w:rPr>
        <w:rFonts w:ascii="Times New Roman" w:hAnsi="Times New Roman"/>
        <w:sz w:val="28"/>
        <w:szCs w:val="28"/>
      </w:rPr>
    </w:sdtEndPr>
    <w:sdtContent>
      <w:p w14:paraId="7919483D">
        <w:pPr>
          <w:pStyle w:val="2"/>
          <w:jc w:val="cente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14</w:t>
        </w:r>
        <w:r>
          <w:rPr>
            <w:rFonts w:ascii="Times New Roman" w:hAnsi="Times New Roman"/>
            <w:sz w:val="28"/>
            <w:szCs w:val="28"/>
          </w:rPr>
          <w:fldChar w:fldCharType="end"/>
        </w:r>
        <w:r>
          <w:rPr>
            <w:rFonts w:ascii="Times New Roman" w:hAnsi="Times New Roman"/>
            <w:sz w:val="28"/>
            <w:szCs w:val="28"/>
          </w:rPr>
          <w:t xml:space="preserve"> —</w:t>
        </w:r>
      </w:p>
    </w:sdtContent>
  </w:sdt>
  <w:p w14:paraId="51A5B952">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E1482">
    <w:pPr>
      <w:pStyle w:val="2"/>
      <w:jc w:val="center"/>
    </w:pPr>
    <w:r>
      <w:fldChar w:fldCharType="begin"/>
    </w:r>
    <w:r>
      <w:instrText xml:space="preserve"> PAGE   \* MERGEFORMAT </w:instrText>
    </w:r>
    <w:r>
      <w:fldChar w:fldCharType="separate"/>
    </w:r>
    <w:r>
      <w:rPr>
        <w:lang w:val="zh-CN"/>
      </w:rPr>
      <w:t>25</w:t>
    </w:r>
    <w:r>
      <w:rPr>
        <w:lang w:val="zh-CN"/>
      </w:rPr>
      <w:fldChar w:fldCharType="end"/>
    </w:r>
  </w:p>
  <w:p w14:paraId="43B76361">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8F1C8">
    <w:pPr>
      <w:pStyle w:val="3"/>
      <w:pBdr>
        <w:bottom w:val="dotted" w:color="auto" w:sz="4" w:space="1"/>
      </w:pBdr>
      <w:jc w:val="left"/>
      <w:rPr>
        <w:rFonts w:ascii="方正黑体_GBK" w:eastAsia="方正黑体_GBK"/>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4NTc4OTEyYWU2MjM0MmE5ZmViNjIwNmYyNzY4ZjkifQ=="/>
  </w:docVars>
  <w:rsids>
    <w:rsidRoot w:val="007E2B6C"/>
    <w:rsid w:val="000800E4"/>
    <w:rsid w:val="00080119"/>
    <w:rsid w:val="000B23D2"/>
    <w:rsid w:val="000D5412"/>
    <w:rsid w:val="001E554F"/>
    <w:rsid w:val="0030108E"/>
    <w:rsid w:val="00443EA2"/>
    <w:rsid w:val="00466EA7"/>
    <w:rsid w:val="005C4850"/>
    <w:rsid w:val="006D2499"/>
    <w:rsid w:val="007E2B6C"/>
    <w:rsid w:val="00827ADA"/>
    <w:rsid w:val="00892E2F"/>
    <w:rsid w:val="009E0F96"/>
    <w:rsid w:val="00A969D8"/>
    <w:rsid w:val="00B400D2"/>
    <w:rsid w:val="00B954FB"/>
    <w:rsid w:val="00BE5418"/>
    <w:rsid w:val="00DD5F0A"/>
    <w:rsid w:val="00E50737"/>
    <w:rsid w:val="00FC2720"/>
    <w:rsid w:val="00FD62CF"/>
    <w:rsid w:val="00FF084A"/>
    <w:rsid w:val="01233682"/>
    <w:rsid w:val="013C58A6"/>
    <w:rsid w:val="015233E3"/>
    <w:rsid w:val="021B7C9E"/>
    <w:rsid w:val="0275233D"/>
    <w:rsid w:val="03150DFB"/>
    <w:rsid w:val="03674F52"/>
    <w:rsid w:val="03BA3F9C"/>
    <w:rsid w:val="04B073F7"/>
    <w:rsid w:val="05214410"/>
    <w:rsid w:val="059C14C9"/>
    <w:rsid w:val="05B13426"/>
    <w:rsid w:val="0671705A"/>
    <w:rsid w:val="070F330A"/>
    <w:rsid w:val="07886409"/>
    <w:rsid w:val="07935C2F"/>
    <w:rsid w:val="079511E1"/>
    <w:rsid w:val="086F75C9"/>
    <w:rsid w:val="08805332"/>
    <w:rsid w:val="09C35E1E"/>
    <w:rsid w:val="0AC57974"/>
    <w:rsid w:val="0AF648FD"/>
    <w:rsid w:val="0B301A23"/>
    <w:rsid w:val="0BBA5057"/>
    <w:rsid w:val="0C7637B2"/>
    <w:rsid w:val="0D531267"/>
    <w:rsid w:val="0D7C6A10"/>
    <w:rsid w:val="0E6366A1"/>
    <w:rsid w:val="0F350C32"/>
    <w:rsid w:val="0FB018FD"/>
    <w:rsid w:val="10477289"/>
    <w:rsid w:val="10D601E5"/>
    <w:rsid w:val="12031D86"/>
    <w:rsid w:val="1215440A"/>
    <w:rsid w:val="12162D3E"/>
    <w:rsid w:val="12AF3ABF"/>
    <w:rsid w:val="133415C4"/>
    <w:rsid w:val="13FF3EF7"/>
    <w:rsid w:val="143F754A"/>
    <w:rsid w:val="154C6CC8"/>
    <w:rsid w:val="15DE5D93"/>
    <w:rsid w:val="16112265"/>
    <w:rsid w:val="16746F0C"/>
    <w:rsid w:val="17DA3818"/>
    <w:rsid w:val="17F1508D"/>
    <w:rsid w:val="18115FA7"/>
    <w:rsid w:val="184B770B"/>
    <w:rsid w:val="195D359C"/>
    <w:rsid w:val="19687E48"/>
    <w:rsid w:val="1A2640AB"/>
    <w:rsid w:val="1AA650CC"/>
    <w:rsid w:val="1BCD0437"/>
    <w:rsid w:val="1C186B24"/>
    <w:rsid w:val="1C5F5537"/>
    <w:rsid w:val="1C821221"/>
    <w:rsid w:val="1DD261D8"/>
    <w:rsid w:val="1F130856"/>
    <w:rsid w:val="1F3B4194"/>
    <w:rsid w:val="1FF2076E"/>
    <w:rsid w:val="213056EF"/>
    <w:rsid w:val="220F3557"/>
    <w:rsid w:val="23235618"/>
    <w:rsid w:val="233D0598"/>
    <w:rsid w:val="235A0062"/>
    <w:rsid w:val="23744181"/>
    <w:rsid w:val="237F470C"/>
    <w:rsid w:val="24572958"/>
    <w:rsid w:val="24BE74B6"/>
    <w:rsid w:val="252B19AC"/>
    <w:rsid w:val="264F4111"/>
    <w:rsid w:val="28A15125"/>
    <w:rsid w:val="29096867"/>
    <w:rsid w:val="291E22D1"/>
    <w:rsid w:val="29297504"/>
    <w:rsid w:val="29613DF1"/>
    <w:rsid w:val="29AB625B"/>
    <w:rsid w:val="29B97CFE"/>
    <w:rsid w:val="2A1536D4"/>
    <w:rsid w:val="2A1D6C72"/>
    <w:rsid w:val="2A8409E3"/>
    <w:rsid w:val="2B0229EC"/>
    <w:rsid w:val="2B224FBC"/>
    <w:rsid w:val="2BE912BD"/>
    <w:rsid w:val="2DE46318"/>
    <w:rsid w:val="2E0C4DEE"/>
    <w:rsid w:val="2EA06819"/>
    <w:rsid w:val="2F212B1B"/>
    <w:rsid w:val="2F2873E5"/>
    <w:rsid w:val="301B57BD"/>
    <w:rsid w:val="30223D97"/>
    <w:rsid w:val="302A594E"/>
    <w:rsid w:val="312F67E6"/>
    <w:rsid w:val="31994BEB"/>
    <w:rsid w:val="31FB7BE0"/>
    <w:rsid w:val="320904E6"/>
    <w:rsid w:val="32204D60"/>
    <w:rsid w:val="325B7D99"/>
    <w:rsid w:val="3279629B"/>
    <w:rsid w:val="32CF475C"/>
    <w:rsid w:val="3328091C"/>
    <w:rsid w:val="333A0650"/>
    <w:rsid w:val="33B43CF7"/>
    <w:rsid w:val="33B65187"/>
    <w:rsid w:val="345B3684"/>
    <w:rsid w:val="345F4A2D"/>
    <w:rsid w:val="34F95CB9"/>
    <w:rsid w:val="35641D77"/>
    <w:rsid w:val="35B44F21"/>
    <w:rsid w:val="35B47B45"/>
    <w:rsid w:val="35E96171"/>
    <w:rsid w:val="36422F6B"/>
    <w:rsid w:val="3656754F"/>
    <w:rsid w:val="38347120"/>
    <w:rsid w:val="390E4E60"/>
    <w:rsid w:val="398E34A3"/>
    <w:rsid w:val="3A125E82"/>
    <w:rsid w:val="3A2A3838"/>
    <w:rsid w:val="3A3C6A5B"/>
    <w:rsid w:val="3A9A6168"/>
    <w:rsid w:val="3B6C1B5E"/>
    <w:rsid w:val="3B7B5058"/>
    <w:rsid w:val="3C1744FA"/>
    <w:rsid w:val="3C9012E0"/>
    <w:rsid w:val="3C9B215F"/>
    <w:rsid w:val="3CF655E7"/>
    <w:rsid w:val="3D3C458E"/>
    <w:rsid w:val="3D4A1132"/>
    <w:rsid w:val="3DDC2E58"/>
    <w:rsid w:val="3DDF4B52"/>
    <w:rsid w:val="3DFE6427"/>
    <w:rsid w:val="3E622809"/>
    <w:rsid w:val="3ED2087A"/>
    <w:rsid w:val="3EF86EFC"/>
    <w:rsid w:val="3F88629F"/>
    <w:rsid w:val="3F977E8E"/>
    <w:rsid w:val="3FBA4F52"/>
    <w:rsid w:val="40241F6D"/>
    <w:rsid w:val="40254AF7"/>
    <w:rsid w:val="40FA4E7B"/>
    <w:rsid w:val="41131F0E"/>
    <w:rsid w:val="415C2714"/>
    <w:rsid w:val="41C932CA"/>
    <w:rsid w:val="41EC2A9C"/>
    <w:rsid w:val="441F0B81"/>
    <w:rsid w:val="44B6565C"/>
    <w:rsid w:val="46C41764"/>
    <w:rsid w:val="477A0BC3"/>
    <w:rsid w:val="485D3A8C"/>
    <w:rsid w:val="492C32A2"/>
    <w:rsid w:val="493A2A3B"/>
    <w:rsid w:val="49B06B1E"/>
    <w:rsid w:val="49D97E23"/>
    <w:rsid w:val="49E1317B"/>
    <w:rsid w:val="4A2A18B8"/>
    <w:rsid w:val="4AD24B81"/>
    <w:rsid w:val="4B430C4B"/>
    <w:rsid w:val="4B5160DF"/>
    <w:rsid w:val="4B8B339F"/>
    <w:rsid w:val="4BC52BE6"/>
    <w:rsid w:val="4C803B85"/>
    <w:rsid w:val="4CD3324F"/>
    <w:rsid w:val="4D442B7D"/>
    <w:rsid w:val="4E200FE9"/>
    <w:rsid w:val="4F0019DC"/>
    <w:rsid w:val="4FB355BA"/>
    <w:rsid w:val="4FE75D5E"/>
    <w:rsid w:val="51015C73"/>
    <w:rsid w:val="53355DEE"/>
    <w:rsid w:val="547605CF"/>
    <w:rsid w:val="54776BB6"/>
    <w:rsid w:val="54E7353E"/>
    <w:rsid w:val="553274B5"/>
    <w:rsid w:val="55AF1864"/>
    <w:rsid w:val="562F32DD"/>
    <w:rsid w:val="564871BB"/>
    <w:rsid w:val="56A949C2"/>
    <w:rsid w:val="576256B3"/>
    <w:rsid w:val="58225E42"/>
    <w:rsid w:val="582B2039"/>
    <w:rsid w:val="58670CF0"/>
    <w:rsid w:val="587A09A5"/>
    <w:rsid w:val="58A14202"/>
    <w:rsid w:val="58D84CBB"/>
    <w:rsid w:val="5980201F"/>
    <w:rsid w:val="59C5128B"/>
    <w:rsid w:val="59F14D15"/>
    <w:rsid w:val="5A6D290F"/>
    <w:rsid w:val="5ADB3E73"/>
    <w:rsid w:val="5B8B2F47"/>
    <w:rsid w:val="5C084C4C"/>
    <w:rsid w:val="5C3B2BBF"/>
    <w:rsid w:val="5CDC1CAC"/>
    <w:rsid w:val="5D1276E8"/>
    <w:rsid w:val="5D686528"/>
    <w:rsid w:val="5D7D374B"/>
    <w:rsid w:val="5E931F4A"/>
    <w:rsid w:val="5ECC2E23"/>
    <w:rsid w:val="5ECF2E97"/>
    <w:rsid w:val="5F412CC2"/>
    <w:rsid w:val="5F683CCB"/>
    <w:rsid w:val="5F8D222A"/>
    <w:rsid w:val="5FA25E8E"/>
    <w:rsid w:val="5FF06BF8"/>
    <w:rsid w:val="5FFF554A"/>
    <w:rsid w:val="602575F3"/>
    <w:rsid w:val="61A3002D"/>
    <w:rsid w:val="61A771EE"/>
    <w:rsid w:val="61AC4F34"/>
    <w:rsid w:val="62F4175F"/>
    <w:rsid w:val="633F11E7"/>
    <w:rsid w:val="63D54C39"/>
    <w:rsid w:val="63ED0C43"/>
    <w:rsid w:val="64630637"/>
    <w:rsid w:val="6492688F"/>
    <w:rsid w:val="64B671C1"/>
    <w:rsid w:val="65881026"/>
    <w:rsid w:val="66C00C96"/>
    <w:rsid w:val="678F4D59"/>
    <w:rsid w:val="67C779FD"/>
    <w:rsid w:val="67FC4924"/>
    <w:rsid w:val="68D8310B"/>
    <w:rsid w:val="695F789F"/>
    <w:rsid w:val="69715E72"/>
    <w:rsid w:val="69932FEB"/>
    <w:rsid w:val="69A42F36"/>
    <w:rsid w:val="6AAD4C88"/>
    <w:rsid w:val="6AF75880"/>
    <w:rsid w:val="6B3F6EC7"/>
    <w:rsid w:val="6B881251"/>
    <w:rsid w:val="6BC7169A"/>
    <w:rsid w:val="6C8C2B04"/>
    <w:rsid w:val="6CA36342"/>
    <w:rsid w:val="6CE379ED"/>
    <w:rsid w:val="6D321474"/>
    <w:rsid w:val="6D521632"/>
    <w:rsid w:val="6DE25D78"/>
    <w:rsid w:val="6F0357BE"/>
    <w:rsid w:val="6FAC19B2"/>
    <w:rsid w:val="6FFA33B7"/>
    <w:rsid w:val="7019203A"/>
    <w:rsid w:val="71A4207D"/>
    <w:rsid w:val="71B6465A"/>
    <w:rsid w:val="741915E0"/>
    <w:rsid w:val="75A86549"/>
    <w:rsid w:val="75C258B4"/>
    <w:rsid w:val="76327E9F"/>
    <w:rsid w:val="783A427F"/>
    <w:rsid w:val="78484242"/>
    <w:rsid w:val="78A50F41"/>
    <w:rsid w:val="79224A93"/>
    <w:rsid w:val="79346B00"/>
    <w:rsid w:val="795D045D"/>
    <w:rsid w:val="79B3567F"/>
    <w:rsid w:val="7A1C7734"/>
    <w:rsid w:val="7AAC4971"/>
    <w:rsid w:val="7D7B0A09"/>
    <w:rsid w:val="7DF7608C"/>
    <w:rsid w:val="7DF94E6A"/>
    <w:rsid w:val="7E98086D"/>
    <w:rsid w:val="7F3B2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qFormat/>
    <w:uiPriority w:val="0"/>
    <w:pPr>
      <w:ind w:firstLine="200" w:firstLineChars="200"/>
      <w:jc w:val="left"/>
      <w:outlineLvl w:val="2"/>
    </w:pPr>
    <w:rPr>
      <w:rFonts w:ascii="Cambria" w:hAnsi="Cambria" w:eastAsia="黑体"/>
      <w:bCs/>
      <w:kern w:val="28"/>
      <w:sz w:val="28"/>
      <w:szCs w:val="32"/>
    </w:rPr>
  </w:style>
  <w:style w:type="character" w:customStyle="1" w:styleId="7">
    <w:name w:val="font111"/>
    <w:basedOn w:val="6"/>
    <w:qFormat/>
    <w:uiPriority w:val="0"/>
    <w:rPr>
      <w:rFonts w:hint="default" w:ascii="Times New Roman" w:hAnsi="Times New Roman" w:cs="Times New Roman"/>
      <w:color w:val="000000"/>
      <w:sz w:val="24"/>
      <w:szCs w:val="24"/>
      <w:u w:val="none"/>
    </w:rPr>
  </w:style>
  <w:style w:type="character" w:customStyle="1" w:styleId="8">
    <w:name w:val="font81"/>
    <w:basedOn w:val="6"/>
    <w:qFormat/>
    <w:uiPriority w:val="0"/>
    <w:rPr>
      <w:rFonts w:hint="eastAsia" w:ascii="宋体" w:hAnsi="宋体" w:eastAsia="宋体" w:cs="宋体"/>
      <w:color w:val="000000"/>
      <w:sz w:val="21"/>
      <w:szCs w:val="21"/>
      <w:u w:val="none"/>
    </w:rPr>
  </w:style>
  <w:style w:type="character" w:customStyle="1" w:styleId="9">
    <w:name w:val="font122"/>
    <w:basedOn w:val="6"/>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25</Pages>
  <Words>13940</Words>
  <Characters>15033</Characters>
  <Lines>117</Lines>
  <Paragraphs>33</Paragraphs>
  <TotalTime>7</TotalTime>
  <ScaleCrop>false</ScaleCrop>
  <LinksUpToDate>false</LinksUpToDate>
  <CharactersWithSpaces>15098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2024-06-20T02:13:00Z</dcterms:created>
  <dc:creator>zhouyin</dc:creator>
  <cp:lastModifiedBy>xr</cp:lastModifiedBy>
  <cp:lastPrinted>2024-06-27T02:59:00Z</cp:lastPrinted>
  <dcterms:modified xsi:type="dcterms:W3CDTF">2025-10-15T06:21:55Z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B1C0CD800A1E4F398A6159247F15BA3D_13</vt:lpwstr>
  </property>
  <property fmtid="{D5CDD505-2E9C-101B-9397-08002B2CF9AE}" pid="4" name="KSOTemplateDocerSaveRecord">
    <vt:lpwstr>eyJoZGlkIjoiOWU4NTc4OTEyYWU2MjM0MmE5ZmViNjIwNmYyNzY4ZjkiLCJ1c2VySWQiOiI0NTExMjEyOTYifQ==</vt:lpwstr>
  </property>
</Properties>
</file>