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E27AD1">
        <w:trPr>
          <w:trHeight w:val="3592"/>
        </w:trPr>
        <w:tc>
          <w:tcPr>
            <w:tcW w:w="10402" w:type="dxa"/>
            <w:tcBorders>
              <w:top w:val="nil"/>
              <w:left w:val="nil"/>
              <w:bottom w:val="nil"/>
              <w:right w:val="nil"/>
            </w:tcBorders>
          </w:tcPr>
          <w:p w:rsidR="00E27AD1" w:rsidRDefault="00E27AD1">
            <w:pPr>
              <w:pStyle w:val="a4"/>
              <w:spacing w:line="360" w:lineRule="auto"/>
              <w:rPr>
                <w:rFonts w:ascii="仿宋" w:eastAsia="仿宋" w:hAnsi="仿宋" w:cs="仿宋"/>
                <w:b/>
                <w:bCs/>
                <w:color w:val="FF0000"/>
                <w:sz w:val="22"/>
                <w:szCs w:val="22"/>
              </w:rPr>
            </w:pPr>
            <w:bookmarkStart w:id="0" w:name="_GoBack"/>
            <w:bookmarkEnd w:id="0"/>
          </w:p>
        </w:tc>
      </w:tr>
      <w:tr w:rsidR="00E27AD1">
        <w:trPr>
          <w:trHeight w:val="4945"/>
        </w:trPr>
        <w:tc>
          <w:tcPr>
            <w:tcW w:w="10402" w:type="dxa"/>
            <w:tcBorders>
              <w:top w:val="nil"/>
              <w:left w:val="nil"/>
              <w:bottom w:val="nil"/>
              <w:right w:val="nil"/>
            </w:tcBorders>
          </w:tcPr>
          <w:p w:rsidR="00E27AD1" w:rsidRDefault="002D7FCF">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南京市人力资源和社会保障局</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单位决算公开</w:t>
            </w:r>
          </w:p>
        </w:tc>
      </w:tr>
    </w:tbl>
    <w:p w:rsidR="00E27AD1" w:rsidRDefault="00E27AD1">
      <w:pPr>
        <w:ind w:rightChars="129" w:right="284"/>
        <w:jc w:val="both"/>
        <w:rPr>
          <w:rFonts w:ascii="宋体" w:eastAsia="宋体" w:hAnsi="宋体" w:cs="宋体"/>
          <w:b/>
          <w:bCs/>
          <w:sz w:val="52"/>
          <w:szCs w:val="52"/>
        </w:rPr>
        <w:sectPr w:rsidR="00E27AD1">
          <w:headerReference w:type="default" r:id="rId7"/>
          <w:headerReference w:type="first" r:id="rId8"/>
          <w:pgSz w:w="11906" w:h="16838"/>
          <w:pgMar w:top="1580" w:right="700" w:bottom="770" w:left="1020" w:header="170" w:footer="280" w:gutter="0"/>
          <w:cols w:space="720"/>
          <w:formProt w:val="0"/>
          <w:titlePg/>
          <w:docGrid w:linePitch="100"/>
        </w:sectPr>
      </w:pPr>
    </w:p>
    <w:p w:rsidR="00E27AD1" w:rsidRDefault="00E27AD1">
      <w:pPr>
        <w:pStyle w:val="a4"/>
        <w:spacing w:before="4"/>
        <w:rPr>
          <w:rFonts w:ascii="华文仿宋" w:eastAsia="华文仿宋" w:hAnsi="华文仿宋" w:cs="仿宋"/>
          <w:sz w:val="10"/>
        </w:rPr>
      </w:pPr>
    </w:p>
    <w:p w:rsidR="00E27AD1" w:rsidRDefault="002D7FCF">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E27AD1" w:rsidRDefault="00E27AD1">
      <w:pPr>
        <w:pStyle w:val="a4"/>
        <w:spacing w:before="7"/>
        <w:rPr>
          <w:rFonts w:ascii="仿宋" w:eastAsia="仿宋" w:hAnsi="仿宋" w:cs="仿宋"/>
          <w:sz w:val="27"/>
        </w:rPr>
      </w:pPr>
    </w:p>
    <w:p w:rsidR="00E27AD1" w:rsidRDefault="002D7FCF">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E27AD1" w:rsidRDefault="002D7FCF">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E27AD1" w:rsidRDefault="002D7FCF">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E27AD1" w:rsidRDefault="002D7FCF">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E27AD1" w:rsidRDefault="002D7FCF">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E27AD1" w:rsidRDefault="002D7FCF">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E27AD1" w:rsidRDefault="002D7FCF">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E27AD1" w:rsidRDefault="002D7FCF">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E27AD1" w:rsidRDefault="002D7FCF">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E27AD1" w:rsidRDefault="002D7FCF">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E27AD1" w:rsidRDefault="002D7FCF">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E27AD1" w:rsidRDefault="002D7FCF">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E27AD1" w:rsidRDefault="002D7FCF">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E27AD1" w:rsidRDefault="002D7FCF">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E27AD1" w:rsidRDefault="002D7FCF">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E27AD1" w:rsidRDefault="00E27AD1">
      <w:pPr>
        <w:pStyle w:val="a4"/>
        <w:spacing w:line="235" w:lineRule="auto"/>
        <w:ind w:leftChars="300" w:left="669" w:right="2414" w:hanging="9"/>
        <w:jc w:val="both"/>
        <w:rPr>
          <w:rFonts w:ascii="仿宋" w:eastAsia="仿宋" w:hAnsi="仿宋" w:cs="仿宋"/>
        </w:rPr>
        <w:sectPr w:rsidR="00E27AD1">
          <w:footerReference w:type="default" r:id="rId9"/>
          <w:pgSz w:w="11906" w:h="16838"/>
          <w:pgMar w:top="1580" w:right="700" w:bottom="770" w:left="1020" w:header="283" w:footer="280" w:gutter="0"/>
          <w:pgNumType w:fmt="numberInDash" w:start="1"/>
          <w:cols w:space="720"/>
          <w:formProt w:val="0"/>
          <w:docGrid w:linePitch="100"/>
        </w:sectPr>
      </w:pPr>
    </w:p>
    <w:p w:rsidR="00E27AD1" w:rsidRDefault="00E27AD1">
      <w:pPr>
        <w:pStyle w:val="a4"/>
        <w:spacing w:before="1"/>
        <w:rPr>
          <w:rFonts w:ascii="华文仿宋" w:eastAsia="华文仿宋" w:hAnsi="华文仿宋" w:cs="仿宋"/>
          <w:sz w:val="14"/>
        </w:rPr>
      </w:pPr>
    </w:p>
    <w:p w:rsidR="00E27AD1" w:rsidRDefault="002D7FCF">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E27AD1" w:rsidRDefault="00E27AD1">
      <w:pPr>
        <w:ind w:rightChars="229" w:right="504"/>
        <w:jc w:val="both"/>
      </w:pPr>
    </w:p>
    <w:p w:rsidR="00E27AD1" w:rsidRDefault="002D7FCF">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（一）贯彻执行国家、省人力资源社会保障事业政策法规和规划，拟订人力资源和社会保障事业发展政策、规划，起草有关地方性法规、规章和政策，经批准后组织实施。</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（二）贯彻执行国家、省人力资源市场相关法规，拟订并组织实施人力资源市场发展规划和人力资源服务业发展、人力资源流动政策，负责人力资源服务机构管理工作，负责人力资源市场监管工作。</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负责促进就业工作，拟订统筹城乡的就业发展规划和政策，完善公共就业创业服务体系，统筹建立面向城乡劳动者的职业技能培训制度，拟订就业援助制度，牵头拟订高校毕业生就业政策，会同有关部门拟订外国人来华工作政策。</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负责建立和完善覆盖城乡的多层次社会保障体系，拟订养老、失业、工伤等社会保险及其补充保险政策和标准，并组织实施。贯彻实施养老保险全国和省统筹办法以及全国统一的养老、失业、工伤等社会保险关系转续办法，拟订养老保险市级统筹意见。组织拟订养老、失业、工伤等社会保险及其补充保险基金管理和监督办法，编制相关</w:t>
      </w:r>
      <w:r>
        <w:rPr>
          <w:rFonts w:ascii="仿宋" w:eastAsia="仿宋" w:hAnsi="仿宋" w:cs="仿宋"/>
        </w:rPr>
        <w:t>社会保险基金预决算草案。会同有关部门实施全民参保计划并建立全市统一的社会保险公共服务平台。</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（五）负责就业、失业和相关社会保险基金预测预警和信息</w:t>
      </w:r>
      <w:r>
        <w:rPr>
          <w:rFonts w:ascii="仿宋" w:eastAsia="仿宋" w:hAnsi="仿宋" w:cs="仿宋"/>
        </w:rPr>
        <w:lastRenderedPageBreak/>
        <w:t>引导，拟订应对预案，实施监管调控，保持就业形势稳定和相关社会保险基金总体收支平衡。</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按照职责分工负责相关人才工作，拟订人才资源开发规划，组织实施重点人才工程和项目计划。推进深化职称制度改革，拟订专业技术人员管理、继续教育和博士后管理等政策，负责高层次专业技术人才及专家选拔、培养、服务工作，拟订吸引留学人员来本市工作或定居的政策。组织拟订技能人才培养、评价、使用</w:t>
      </w:r>
      <w:r>
        <w:rPr>
          <w:rFonts w:ascii="仿宋" w:eastAsia="仿宋" w:hAnsi="仿宋" w:cs="仿宋"/>
        </w:rPr>
        <w:t>和激励制度。完善职业资格制度，健全职业技能多元化评价政策。</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（七）会同有关部门指导全市事业单位人事制度改革，按照管理权限负责规范事业单位岗位设置、公开招聘、聘用合同等人事综合管理工作，拟订事业单位人员和机关工勤人员管理政策。</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（八）统筹拟订劳动关系政策，完善劳动关系协商协调机制，对劳动标准执行实施监管。会同有关部门拟订农民工工作相关政策并推动落实，协调解决重点难点问题，维护农民工合法权益。</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（九）会同有关部门拟订事业单位人员工资收入分配政策和企业人员收入分配的调控政策，建立企事业单位人员工资决定、正常增长和</w:t>
      </w:r>
      <w:r>
        <w:rPr>
          <w:rFonts w:ascii="仿宋" w:eastAsia="仿宋" w:hAnsi="仿宋" w:cs="仿宋"/>
        </w:rPr>
        <w:t>支付保障机制。拟订企事业单位人员福利和离退休政策。</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（十）统筹拟订劳动人事争议调解仲裁办法并组织实施，受理处理劳动人事争议案件。组织实施劳动保障监察，协调劳动者维权工作，依法查处违法案件。</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（十一）组织实施国家表彰奖励制度，会同有关部门拟订全</w:t>
      </w:r>
      <w:r>
        <w:rPr>
          <w:rFonts w:ascii="仿宋" w:eastAsia="仿宋" w:hAnsi="仿宋" w:cs="仿宋"/>
        </w:rPr>
        <w:lastRenderedPageBreak/>
        <w:t>市表彰奖励制度，综合管理全市表彰奖励工作，承担全市创建评比达标表彰有关工作，根据授权承办以市委、市政府名义开展的市级表彰奖励活动。</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（十二）负责人力资源和社会保障领域对外交流与合作工作。</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（十三）承担市就业促进和劳动保护工作领导小组的具体工作。</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（十四）完成市委、市政府</w:t>
      </w:r>
      <w:r>
        <w:rPr>
          <w:rFonts w:ascii="仿宋" w:eastAsia="仿宋" w:hAnsi="仿宋" w:cs="仿宋"/>
        </w:rPr>
        <w:t>交办的其他任务。</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五）职能转变。深入推进简政放权、放管结合、优化服务改革，进一步减少行政审批事项，规范和优化对外办理事项，减少职业资格许可和认定等审批事项，实行国家职业资格目录清单管理，推进审批服务便民化，促进营商环境优化，加强事中事后监管，创新就业和社会保障等公共服务方式，加强信息共享，提高公共服务水平。</w:t>
      </w:r>
    </w:p>
    <w:p w:rsidR="00E27AD1" w:rsidRDefault="002D7FCF">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w:t>
      </w:r>
      <w:r>
        <w:rPr>
          <w:rFonts w:ascii="仿宋" w:eastAsia="仿宋" w:hAnsi="仿宋" w:cs="仿宋"/>
        </w:rPr>
        <w:t>办公室（信访处、安全生产监督管理处）、法规处（行政审批服务处）、规划财务处、就业促进处（失业保险处）、职业能力建设处（技工院校管理处）、专业技术人员管理处（职称和职业资格管理处）、人力资源开发和流动管理处（留学人员工作处）、事业单位人事管理处、农民工工作处、劳动关系处、工资福利处、养老保险处、工伤保险处（市劳动能力鉴定委员会办公室）、城乡居民社会保险处、社会保险基金监管处、调解仲裁管理处、劳动保障监察局、人事处（表彰奖励处）、机关党委、离退休干部处。本单位无下</w:t>
      </w:r>
      <w:r>
        <w:rPr>
          <w:rFonts w:ascii="仿宋" w:eastAsia="仿宋" w:hAnsi="仿宋" w:cs="仿宋"/>
        </w:rPr>
        <w:lastRenderedPageBreak/>
        <w:t>属单位。</w:t>
      </w:r>
    </w:p>
    <w:p w:rsidR="00E27AD1" w:rsidRDefault="002D7FCF">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一是靶向发力开源赋能，就业态势平稳向好。统筹做好稳就业、促创业、防失业各项工作，全年实现城镇新增就业</w:t>
      </w:r>
      <w:r>
        <w:rPr>
          <w:rFonts w:ascii="仿宋" w:eastAsia="仿宋" w:hAnsi="仿宋" w:cs="仿宋"/>
        </w:rPr>
        <w:t>21.94</w:t>
      </w:r>
      <w:r>
        <w:rPr>
          <w:rFonts w:ascii="仿宋" w:eastAsia="仿宋" w:hAnsi="仿宋" w:cs="仿宋"/>
        </w:rPr>
        <w:t>万人，再次获评</w:t>
      </w:r>
      <w:r>
        <w:rPr>
          <w:rFonts w:ascii="仿宋" w:eastAsia="仿宋" w:hAnsi="仿宋" w:cs="仿宋"/>
        </w:rPr>
        <w:t>“</w:t>
      </w:r>
      <w:r>
        <w:rPr>
          <w:rFonts w:ascii="仿宋" w:eastAsia="仿宋" w:hAnsi="仿宋" w:cs="仿宋"/>
        </w:rPr>
        <w:t>中国年度最佳促进就业城市</w:t>
      </w:r>
      <w:r>
        <w:rPr>
          <w:rFonts w:ascii="仿宋" w:eastAsia="仿宋" w:hAnsi="仿宋" w:cs="仿宋"/>
        </w:rPr>
        <w:t>”</w:t>
      </w:r>
      <w:r>
        <w:rPr>
          <w:rFonts w:ascii="仿宋" w:eastAsia="仿宋" w:hAnsi="仿宋" w:cs="仿宋"/>
        </w:rPr>
        <w:t>。服务支持主导产业以及文旅等服务业企业，落实失业保险降费、稳岗返还、吸纳就业奖补等政策助企减负</w:t>
      </w:r>
      <w:r>
        <w:rPr>
          <w:rFonts w:ascii="仿宋" w:eastAsia="仿宋" w:hAnsi="仿宋" w:cs="仿宋"/>
        </w:rPr>
        <w:t>42.23</w:t>
      </w:r>
      <w:r>
        <w:rPr>
          <w:rFonts w:ascii="仿宋" w:eastAsia="仿宋" w:hAnsi="仿宋" w:cs="仿宋"/>
        </w:rPr>
        <w:t>亿元，助企专员</w:t>
      </w:r>
      <w:r>
        <w:rPr>
          <w:rFonts w:ascii="仿宋" w:eastAsia="仿宋" w:hAnsi="仿宋" w:cs="仿宋"/>
        </w:rPr>
        <w:t>“</w:t>
      </w:r>
      <w:r>
        <w:rPr>
          <w:rFonts w:ascii="仿宋" w:eastAsia="仿宋" w:hAnsi="仿宋" w:cs="仿宋"/>
        </w:rPr>
        <w:t>一对一</w:t>
      </w:r>
      <w:r>
        <w:rPr>
          <w:rFonts w:ascii="仿宋" w:eastAsia="仿宋" w:hAnsi="仿宋" w:cs="仿宋"/>
        </w:rPr>
        <w:t>”</w:t>
      </w:r>
      <w:r>
        <w:rPr>
          <w:rFonts w:ascii="仿宋" w:eastAsia="仿宋" w:hAnsi="仿宋" w:cs="仿宋"/>
        </w:rPr>
        <w:t>帮助解决用工</w:t>
      </w:r>
      <w:r>
        <w:rPr>
          <w:rFonts w:ascii="仿宋" w:eastAsia="仿宋" w:hAnsi="仿宋" w:cs="仿宋"/>
        </w:rPr>
        <w:t>9.5</w:t>
      </w:r>
      <w:r>
        <w:rPr>
          <w:rFonts w:ascii="仿宋" w:eastAsia="仿宋" w:hAnsi="仿宋" w:cs="仿宋"/>
        </w:rPr>
        <w:t>万人次。突出抓好高校毕业生等青年就业创业，召开全市高校毕业生等青年就业创业工作推进会，筹集开发就业岗位</w:t>
      </w:r>
      <w:r>
        <w:rPr>
          <w:rFonts w:ascii="仿宋" w:eastAsia="仿宋" w:hAnsi="仿宋" w:cs="仿宋"/>
        </w:rPr>
        <w:t>38.87</w:t>
      </w:r>
      <w:r>
        <w:rPr>
          <w:rFonts w:ascii="仿宋" w:eastAsia="仿宋" w:hAnsi="仿宋" w:cs="仿宋"/>
        </w:rPr>
        <w:t>万个次，在宁高校毕业生去向落实率达</w:t>
      </w:r>
      <w:r>
        <w:rPr>
          <w:rFonts w:ascii="仿宋" w:eastAsia="仿宋" w:hAnsi="仿宋" w:cs="仿宋"/>
        </w:rPr>
        <w:t>94%</w:t>
      </w:r>
      <w:r>
        <w:rPr>
          <w:rFonts w:ascii="仿宋" w:eastAsia="仿宋" w:hAnsi="仿宋" w:cs="仿宋"/>
        </w:rPr>
        <w:t>。面向农村劳动力深入开展</w:t>
      </w:r>
      <w:r>
        <w:rPr>
          <w:rFonts w:ascii="仿宋" w:eastAsia="仿宋" w:hAnsi="仿宋" w:cs="仿宋"/>
        </w:rPr>
        <w:t>“</w:t>
      </w:r>
      <w:r>
        <w:rPr>
          <w:rFonts w:ascii="仿宋" w:eastAsia="仿宋" w:hAnsi="仿宋" w:cs="仿宋"/>
        </w:rPr>
        <w:t>春风行动</w:t>
      </w:r>
      <w:r>
        <w:rPr>
          <w:rFonts w:ascii="仿宋" w:eastAsia="仿宋" w:hAnsi="仿宋" w:cs="仿宋"/>
        </w:rPr>
        <w:t>”“</w:t>
      </w:r>
      <w:r>
        <w:rPr>
          <w:rFonts w:ascii="仿宋" w:eastAsia="仿宋" w:hAnsi="仿宋" w:cs="仿宋"/>
        </w:rPr>
        <w:t>送岗大篷车</w:t>
      </w:r>
      <w:r>
        <w:rPr>
          <w:rFonts w:ascii="仿宋" w:eastAsia="仿宋" w:hAnsi="仿宋" w:cs="仿宋"/>
        </w:rPr>
        <w:t>”</w:t>
      </w:r>
      <w:r>
        <w:rPr>
          <w:rFonts w:ascii="仿宋" w:eastAsia="仿宋" w:hAnsi="仿宋" w:cs="仿宋"/>
        </w:rPr>
        <w:t>等活动，建成</w:t>
      </w:r>
      <w:r>
        <w:rPr>
          <w:rFonts w:ascii="仿宋" w:eastAsia="仿宋" w:hAnsi="仿宋" w:cs="仿宋"/>
        </w:rPr>
        <w:t>“</w:t>
      </w:r>
      <w:r>
        <w:rPr>
          <w:rFonts w:ascii="仿宋" w:eastAsia="仿宋" w:hAnsi="仿宋" w:cs="仿宋"/>
        </w:rPr>
        <w:t>雨花码农</w:t>
      </w:r>
      <w:r>
        <w:rPr>
          <w:rFonts w:ascii="仿宋" w:eastAsia="仿宋" w:hAnsi="仿宋" w:cs="仿宋"/>
        </w:rPr>
        <w:t>”“</w:t>
      </w:r>
      <w:r>
        <w:rPr>
          <w:rFonts w:ascii="仿宋" w:eastAsia="仿宋" w:hAnsi="仿宋" w:cs="仿宋"/>
        </w:rPr>
        <w:t>宁好苏嫂</w:t>
      </w:r>
      <w:r>
        <w:rPr>
          <w:rFonts w:ascii="仿宋" w:eastAsia="仿宋" w:hAnsi="仿宋" w:cs="仿宋"/>
        </w:rPr>
        <w:t>”</w:t>
      </w:r>
      <w:r>
        <w:rPr>
          <w:rFonts w:ascii="仿宋" w:eastAsia="仿宋" w:hAnsi="仿宋" w:cs="仿宋"/>
        </w:rPr>
        <w:t>等</w:t>
      </w:r>
      <w:r>
        <w:rPr>
          <w:rFonts w:ascii="仿宋" w:eastAsia="仿宋" w:hAnsi="仿宋" w:cs="仿宋"/>
        </w:rPr>
        <w:t>40</w:t>
      </w:r>
      <w:r>
        <w:rPr>
          <w:rFonts w:ascii="仿宋" w:eastAsia="仿宋" w:hAnsi="仿宋" w:cs="仿宋"/>
        </w:rPr>
        <w:t>个省、市级劳务品牌。面向就业困难群体常态化提供</w:t>
      </w:r>
      <w:r>
        <w:rPr>
          <w:rFonts w:ascii="仿宋" w:eastAsia="仿宋" w:hAnsi="仿宋" w:cs="仿宋"/>
        </w:rPr>
        <w:t>“1311”</w:t>
      </w:r>
      <w:r>
        <w:rPr>
          <w:rFonts w:ascii="仿宋" w:eastAsia="仿宋" w:hAnsi="仿宋" w:cs="仿宋"/>
        </w:rPr>
        <w:t>个性化就业援助，建成</w:t>
      </w:r>
      <w:r>
        <w:rPr>
          <w:rFonts w:ascii="仿宋" w:eastAsia="仿宋" w:hAnsi="仿宋" w:cs="仿宋"/>
        </w:rPr>
        <w:t>102</w:t>
      </w:r>
      <w:r>
        <w:rPr>
          <w:rFonts w:ascii="仿宋" w:eastAsia="仿宋" w:hAnsi="仿宋" w:cs="仿宋"/>
        </w:rPr>
        <w:t>个标准化</w:t>
      </w:r>
      <w:r>
        <w:rPr>
          <w:rFonts w:ascii="仿宋" w:eastAsia="仿宋" w:hAnsi="仿宋" w:cs="仿宋"/>
        </w:rPr>
        <w:t>“</w:t>
      </w:r>
      <w:r>
        <w:rPr>
          <w:rFonts w:ascii="仿宋" w:eastAsia="仿宋" w:hAnsi="仿宋" w:cs="仿宋"/>
        </w:rPr>
        <w:t>家门口</w:t>
      </w:r>
      <w:r>
        <w:rPr>
          <w:rFonts w:ascii="仿宋" w:eastAsia="仿宋" w:hAnsi="仿宋" w:cs="仿宋"/>
        </w:rPr>
        <w:t>”</w:t>
      </w:r>
      <w:r>
        <w:rPr>
          <w:rFonts w:ascii="仿宋" w:eastAsia="仿宋" w:hAnsi="仿宋" w:cs="仿宋"/>
        </w:rPr>
        <w:t>就业服务站，开发公益性岗位兜底安置</w:t>
      </w:r>
      <w:r>
        <w:rPr>
          <w:rFonts w:ascii="仿宋" w:eastAsia="仿宋" w:hAnsi="仿宋" w:cs="仿宋"/>
        </w:rPr>
        <w:t>626</w:t>
      </w:r>
      <w:r>
        <w:rPr>
          <w:rFonts w:ascii="仿宋" w:eastAsia="仿宋" w:hAnsi="仿宋" w:cs="仿宋"/>
        </w:rPr>
        <w:t>人，全年援助困难人员就业</w:t>
      </w:r>
      <w:r>
        <w:rPr>
          <w:rFonts w:ascii="仿宋" w:eastAsia="仿宋" w:hAnsi="仿宋" w:cs="仿宋"/>
        </w:rPr>
        <w:t>2.03</w:t>
      </w:r>
      <w:r>
        <w:rPr>
          <w:rFonts w:ascii="仿宋" w:eastAsia="仿宋" w:hAnsi="仿宋" w:cs="仿宋"/>
        </w:rPr>
        <w:t>万人。支持多渠道灵活就业，建成</w:t>
      </w:r>
      <w:r>
        <w:rPr>
          <w:rFonts w:ascii="仿宋" w:eastAsia="仿宋" w:hAnsi="仿宋" w:cs="仿宋"/>
        </w:rPr>
        <w:t>12</w:t>
      </w:r>
      <w:r>
        <w:rPr>
          <w:rFonts w:ascii="仿宋" w:eastAsia="仿宋" w:hAnsi="仿宋" w:cs="仿宋"/>
        </w:rPr>
        <w:t>个规范化零工市场。深入实施职业技能提升行动，政府补贴培训工种扩增至</w:t>
      </w:r>
      <w:r>
        <w:rPr>
          <w:rFonts w:ascii="仿宋" w:eastAsia="仿宋" w:hAnsi="仿宋" w:cs="仿宋"/>
        </w:rPr>
        <w:t>747</w:t>
      </w:r>
      <w:r>
        <w:rPr>
          <w:rFonts w:ascii="仿宋" w:eastAsia="仿宋" w:hAnsi="仿宋" w:cs="仿宋"/>
        </w:rPr>
        <w:t>个，全年开展补贴性职业技能培训</w:t>
      </w:r>
      <w:r>
        <w:rPr>
          <w:rFonts w:ascii="仿宋" w:eastAsia="仿宋" w:hAnsi="仿宋" w:cs="仿宋"/>
        </w:rPr>
        <w:t>15.4</w:t>
      </w:r>
      <w:r>
        <w:rPr>
          <w:rFonts w:ascii="仿宋" w:eastAsia="仿宋" w:hAnsi="仿宋" w:cs="仿宋"/>
        </w:rPr>
        <w:t>万人次。分级分类做好重点企业用工监测和失业动态监测预警，防范化解规模性失业风险。</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二是引育并举创新突破，人才质数持续攀升。贯彻落实</w:t>
      </w:r>
      <w:r>
        <w:rPr>
          <w:rFonts w:ascii="仿宋" w:eastAsia="仿宋" w:hAnsi="仿宋" w:cs="仿宋"/>
        </w:rPr>
        <w:t>“</w:t>
      </w:r>
      <w:r>
        <w:rPr>
          <w:rFonts w:ascii="仿宋" w:eastAsia="仿宋" w:hAnsi="仿宋" w:cs="仿宋"/>
        </w:rPr>
        <w:t>人才强市</w:t>
      </w:r>
      <w:r>
        <w:rPr>
          <w:rFonts w:ascii="仿宋" w:eastAsia="仿宋" w:hAnsi="仿宋" w:cs="仿宋"/>
        </w:rPr>
        <w:t>25</w:t>
      </w:r>
      <w:r>
        <w:rPr>
          <w:rFonts w:ascii="仿宋" w:eastAsia="仿宋" w:hAnsi="仿宋" w:cs="仿宋"/>
        </w:rPr>
        <w:t>条</w:t>
      </w:r>
      <w:r>
        <w:rPr>
          <w:rFonts w:ascii="仿宋" w:eastAsia="仿宋" w:hAnsi="仿宋" w:cs="仿宋"/>
        </w:rPr>
        <w:t>”</w:t>
      </w:r>
      <w:r>
        <w:rPr>
          <w:rFonts w:ascii="仿宋" w:eastAsia="仿宋" w:hAnsi="仿宋" w:cs="仿宋"/>
        </w:rPr>
        <w:t>和重点产业人才新</w:t>
      </w:r>
      <w:r>
        <w:rPr>
          <w:rFonts w:ascii="仿宋" w:eastAsia="仿宋" w:hAnsi="仿宋" w:cs="仿宋"/>
        </w:rPr>
        <w:t>政，大力引进海外人才，成功举办第十六届南京留交会，</w:t>
      </w:r>
      <w:r>
        <w:rPr>
          <w:rFonts w:ascii="仿宋" w:eastAsia="仿宋" w:hAnsi="仿宋" w:cs="仿宋"/>
        </w:rPr>
        <w:t>5</w:t>
      </w:r>
      <w:r>
        <w:rPr>
          <w:rFonts w:ascii="仿宋" w:eastAsia="仿宋" w:hAnsi="仿宋" w:cs="仿宋"/>
        </w:rPr>
        <w:t>人入选国家层级留学人才计划，全市新增留学回国人员</w:t>
      </w:r>
      <w:r>
        <w:rPr>
          <w:rFonts w:ascii="仿宋" w:eastAsia="仿宋" w:hAnsi="仿宋" w:cs="仿宋"/>
        </w:rPr>
        <w:t>7258</w:t>
      </w:r>
      <w:r>
        <w:rPr>
          <w:rFonts w:ascii="仿宋" w:eastAsia="仿宋" w:hAnsi="仿宋" w:cs="仿宋"/>
        </w:rPr>
        <w:t>人，数量全省第一，总量达</w:t>
      </w:r>
      <w:r>
        <w:rPr>
          <w:rFonts w:ascii="仿宋" w:eastAsia="仿宋" w:hAnsi="仿宋" w:cs="仿宋"/>
        </w:rPr>
        <w:t>7.31</w:t>
      </w:r>
      <w:r>
        <w:rPr>
          <w:rFonts w:ascii="仿宋" w:eastAsia="仿宋" w:hAnsi="仿宋" w:cs="仿宋"/>
        </w:rPr>
        <w:t>万人。加</w:t>
      </w:r>
      <w:r>
        <w:rPr>
          <w:rFonts w:ascii="仿宋" w:eastAsia="仿宋" w:hAnsi="仿宋" w:cs="仿宋"/>
        </w:rPr>
        <w:lastRenderedPageBreak/>
        <w:t>快推进博站建设，成功举办首届南京博士后创新创业大赛，全年新引进博士后</w:t>
      </w:r>
      <w:r>
        <w:rPr>
          <w:rFonts w:ascii="仿宋" w:eastAsia="仿宋" w:hAnsi="仿宋" w:cs="仿宋"/>
        </w:rPr>
        <w:t>445</w:t>
      </w:r>
      <w:r>
        <w:rPr>
          <w:rFonts w:ascii="仿宋" w:eastAsia="仿宋" w:hAnsi="仿宋" w:cs="仿宋"/>
        </w:rPr>
        <w:t>人，</w:t>
      </w:r>
      <w:r>
        <w:rPr>
          <w:rFonts w:ascii="仿宋" w:eastAsia="仿宋" w:hAnsi="仿宋" w:cs="仿宋"/>
        </w:rPr>
        <w:t>140</w:t>
      </w:r>
      <w:r>
        <w:rPr>
          <w:rFonts w:ascii="仿宋" w:eastAsia="仿宋" w:hAnsi="仿宋" w:cs="仿宋"/>
        </w:rPr>
        <w:t>人入选省卓越博士后计划，两项均为全省最多，新增</w:t>
      </w:r>
      <w:r>
        <w:rPr>
          <w:rFonts w:ascii="仿宋" w:eastAsia="仿宋" w:hAnsi="仿宋" w:cs="仿宋"/>
        </w:rPr>
        <w:t>40</w:t>
      </w:r>
      <w:r>
        <w:rPr>
          <w:rFonts w:ascii="仿宋" w:eastAsia="仿宋" w:hAnsi="仿宋" w:cs="仿宋"/>
        </w:rPr>
        <w:t>名市有突出贡献中青年专家，全市专业技术人才总量达</w:t>
      </w:r>
      <w:r>
        <w:rPr>
          <w:rFonts w:ascii="仿宋" w:eastAsia="仿宋" w:hAnsi="仿宋" w:cs="仿宋"/>
        </w:rPr>
        <w:t>211.93</w:t>
      </w:r>
      <w:r>
        <w:rPr>
          <w:rFonts w:ascii="仿宋" w:eastAsia="仿宋" w:hAnsi="仿宋" w:cs="仿宋"/>
        </w:rPr>
        <w:t>万人。鼓励多元主体参与技能人才评价认定，深入推进专业技术职称和职业技能等级双向贯通，深化工学一体改革推动技工教育高质量发展，新增</w:t>
      </w:r>
      <w:r>
        <w:rPr>
          <w:rFonts w:ascii="仿宋" w:eastAsia="仿宋" w:hAnsi="仿宋" w:cs="仿宋"/>
        </w:rPr>
        <w:t>21</w:t>
      </w:r>
      <w:r>
        <w:rPr>
          <w:rFonts w:ascii="仿宋" w:eastAsia="仿宋" w:hAnsi="仿宋" w:cs="仿宋"/>
        </w:rPr>
        <w:t>名省卓越技师，我市选手在第</w:t>
      </w:r>
      <w:r>
        <w:rPr>
          <w:rFonts w:ascii="仿宋" w:eastAsia="仿宋" w:hAnsi="仿宋" w:cs="仿宋"/>
        </w:rPr>
        <w:t>47</w:t>
      </w:r>
      <w:r>
        <w:rPr>
          <w:rFonts w:ascii="仿宋" w:eastAsia="仿宋" w:hAnsi="仿宋" w:cs="仿宋"/>
        </w:rPr>
        <w:t>届世界技</w:t>
      </w:r>
      <w:r>
        <w:rPr>
          <w:rFonts w:ascii="仿宋" w:eastAsia="仿宋" w:hAnsi="仿宋" w:cs="仿宋"/>
        </w:rPr>
        <w:t>能大赛摘金实现突破，高技能人才总量达</w:t>
      </w:r>
      <w:r>
        <w:rPr>
          <w:rFonts w:ascii="仿宋" w:eastAsia="仿宋" w:hAnsi="仿宋" w:cs="仿宋"/>
        </w:rPr>
        <w:t>58.2</w:t>
      </w:r>
      <w:r>
        <w:rPr>
          <w:rFonts w:ascii="仿宋" w:eastAsia="仿宋" w:hAnsi="仿宋" w:cs="仿宋"/>
        </w:rPr>
        <w:t>万人。加强企业孵育平台建设，新增</w:t>
      </w:r>
      <w:r>
        <w:rPr>
          <w:rFonts w:ascii="仿宋" w:eastAsia="仿宋" w:hAnsi="仿宋" w:cs="仿宋"/>
        </w:rPr>
        <w:t>36</w:t>
      </w:r>
      <w:r>
        <w:rPr>
          <w:rFonts w:ascii="仿宋" w:eastAsia="仿宋" w:hAnsi="仿宋" w:cs="仿宋"/>
        </w:rPr>
        <w:t>家市级企业专家工作室，市级累计达</w:t>
      </w:r>
      <w:r>
        <w:rPr>
          <w:rFonts w:ascii="仿宋" w:eastAsia="仿宋" w:hAnsi="仿宋" w:cs="仿宋"/>
        </w:rPr>
        <w:t>116</w:t>
      </w:r>
      <w:r>
        <w:rPr>
          <w:rFonts w:ascii="仿宋" w:eastAsia="仿宋" w:hAnsi="仿宋" w:cs="仿宋"/>
        </w:rPr>
        <w:t>家、区级</w:t>
      </w:r>
      <w:r>
        <w:rPr>
          <w:rFonts w:ascii="仿宋" w:eastAsia="仿宋" w:hAnsi="仿宋" w:cs="仿宋"/>
        </w:rPr>
        <w:t>213</w:t>
      </w:r>
      <w:r>
        <w:rPr>
          <w:rFonts w:ascii="仿宋" w:eastAsia="仿宋" w:hAnsi="仿宋" w:cs="仿宋"/>
        </w:rPr>
        <w:t>家。用足用好事业单位岗位管理、高层次人才事业编制</w:t>
      </w:r>
      <w:r>
        <w:rPr>
          <w:rFonts w:ascii="仿宋" w:eastAsia="仿宋" w:hAnsi="仿宋" w:cs="仿宋"/>
        </w:rPr>
        <w:t>“</w:t>
      </w:r>
      <w:r>
        <w:rPr>
          <w:rFonts w:ascii="仿宋" w:eastAsia="仿宋" w:hAnsi="仿宋" w:cs="仿宋"/>
        </w:rPr>
        <w:t>周转池</w:t>
      </w:r>
      <w:r>
        <w:rPr>
          <w:rFonts w:ascii="仿宋" w:eastAsia="仿宋" w:hAnsi="仿宋" w:cs="仿宋"/>
        </w:rPr>
        <w:t>”</w:t>
      </w:r>
      <w:r>
        <w:rPr>
          <w:rFonts w:ascii="仿宋" w:eastAsia="仿宋" w:hAnsi="仿宋" w:cs="仿宋"/>
        </w:rPr>
        <w:t>、多元化薪酬分配等政策，激发事业单位人才队伍活力。</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三是深化改革精准扩面，社保水平有力提升。稳妥完成企业退休人员过渡性养老金计发办法调整和首次增发工作，惠及</w:t>
      </w:r>
      <w:r>
        <w:rPr>
          <w:rFonts w:ascii="仿宋" w:eastAsia="仿宋" w:hAnsi="仿宋" w:cs="仿宋"/>
        </w:rPr>
        <w:t>66.58</w:t>
      </w:r>
      <w:r>
        <w:rPr>
          <w:rFonts w:ascii="仿宋" w:eastAsia="仿宋" w:hAnsi="仿宋" w:cs="仿宋"/>
        </w:rPr>
        <w:t>万名退休人员。根据上级部署有序推进养老保险全国统筹、渐进式延迟法定退休年龄改革相关工作，做好改革实施各项准备。完成</w:t>
      </w:r>
      <w:r>
        <w:rPr>
          <w:rFonts w:ascii="仿宋" w:eastAsia="仿宋" w:hAnsi="仿宋" w:cs="仿宋"/>
        </w:rPr>
        <w:t>5815</w:t>
      </w:r>
      <w:r>
        <w:rPr>
          <w:rFonts w:ascii="仿宋" w:eastAsia="仿宋" w:hAnsi="仿宋" w:cs="仿宋"/>
        </w:rPr>
        <w:t>名机关事业单位退休</w:t>
      </w:r>
      <w:r>
        <w:rPr>
          <w:rFonts w:ascii="仿宋" w:eastAsia="仿宋" w:hAnsi="仿宋" w:cs="仿宋"/>
        </w:rPr>
        <w:t>“</w:t>
      </w:r>
      <w:r>
        <w:rPr>
          <w:rFonts w:ascii="仿宋" w:eastAsia="仿宋" w:hAnsi="仿宋" w:cs="仿宋"/>
        </w:rPr>
        <w:t>中人</w:t>
      </w:r>
      <w:r>
        <w:rPr>
          <w:rFonts w:ascii="仿宋" w:eastAsia="仿宋" w:hAnsi="仿宋" w:cs="仿宋"/>
        </w:rPr>
        <w:t>”</w:t>
      </w:r>
      <w:r>
        <w:rPr>
          <w:rFonts w:ascii="仿宋" w:eastAsia="仿宋" w:hAnsi="仿宋" w:cs="仿宋"/>
        </w:rPr>
        <w:t>养老待遇</w:t>
      </w:r>
      <w:r>
        <w:rPr>
          <w:rFonts w:ascii="仿宋" w:eastAsia="仿宋" w:hAnsi="仿宋" w:cs="仿宋"/>
        </w:rPr>
        <w:t>计发，城乡居保集体补助试点在</w:t>
      </w:r>
      <w:r>
        <w:rPr>
          <w:rFonts w:ascii="仿宋" w:eastAsia="仿宋" w:hAnsi="仿宋" w:cs="仿宋"/>
        </w:rPr>
        <w:t>6</w:t>
      </w:r>
      <w:r>
        <w:rPr>
          <w:rFonts w:ascii="仿宋" w:eastAsia="仿宋" w:hAnsi="仿宋" w:cs="仿宋"/>
        </w:rPr>
        <w:t>个区推进实施，企业年金制度覆盖面扩大至</w:t>
      </w:r>
      <w:r>
        <w:rPr>
          <w:rFonts w:ascii="仿宋" w:eastAsia="仿宋" w:hAnsi="仿宋" w:cs="仿宋"/>
        </w:rPr>
        <w:t>628</w:t>
      </w:r>
      <w:r>
        <w:rPr>
          <w:rFonts w:ascii="仿宋" w:eastAsia="仿宋" w:hAnsi="仿宋" w:cs="仿宋"/>
        </w:rPr>
        <w:t>家。健全</w:t>
      </w:r>
      <w:r>
        <w:rPr>
          <w:rFonts w:ascii="仿宋" w:eastAsia="仿宋" w:hAnsi="仿宋" w:cs="仿宋"/>
        </w:rPr>
        <w:t>“</w:t>
      </w:r>
      <w:r>
        <w:rPr>
          <w:rFonts w:ascii="仿宋" w:eastAsia="仿宋" w:hAnsi="仿宋" w:cs="仿宋"/>
        </w:rPr>
        <w:t>三位一体</w:t>
      </w:r>
      <w:r>
        <w:rPr>
          <w:rFonts w:ascii="仿宋" w:eastAsia="仿宋" w:hAnsi="仿宋" w:cs="仿宋"/>
        </w:rPr>
        <w:t>”</w:t>
      </w:r>
      <w:r>
        <w:rPr>
          <w:rFonts w:ascii="仿宋" w:eastAsia="仿宋" w:hAnsi="仿宋" w:cs="仿宋"/>
        </w:rPr>
        <w:t>工伤保险制度体系，聚焦机械制造、危化品等重点行业开展工伤预防培训，持续推进新业态劳动者职业伤害保障试点。全市养老、工伤、失业保险累计参保</w:t>
      </w:r>
      <w:r>
        <w:rPr>
          <w:rFonts w:ascii="仿宋" w:eastAsia="仿宋" w:hAnsi="仿宋" w:cs="仿宋"/>
        </w:rPr>
        <w:t>1180.63</w:t>
      </w:r>
      <w:r>
        <w:rPr>
          <w:rFonts w:ascii="仿宋" w:eastAsia="仿宋" w:hAnsi="仿宋" w:cs="仿宋"/>
        </w:rPr>
        <w:t>万人次，各项社保基金收入</w:t>
      </w:r>
      <w:r>
        <w:rPr>
          <w:rFonts w:ascii="仿宋" w:eastAsia="仿宋" w:hAnsi="仿宋" w:cs="仿宋"/>
        </w:rPr>
        <w:t>957.16</w:t>
      </w:r>
      <w:r>
        <w:rPr>
          <w:rFonts w:ascii="仿宋" w:eastAsia="仿宋" w:hAnsi="仿宋" w:cs="仿宋"/>
        </w:rPr>
        <w:t>亿元。落实社保扶贫，为</w:t>
      </w:r>
      <w:r>
        <w:rPr>
          <w:rFonts w:ascii="仿宋" w:eastAsia="仿宋" w:hAnsi="仿宋" w:cs="仿宋"/>
        </w:rPr>
        <w:t>2.87</w:t>
      </w:r>
      <w:r>
        <w:rPr>
          <w:rFonts w:ascii="仿宋" w:eastAsia="仿宋" w:hAnsi="仿宋" w:cs="仿宋"/>
        </w:rPr>
        <w:t>万名困难人员代缴城乡居民养老保险费</w:t>
      </w:r>
      <w:r>
        <w:rPr>
          <w:rFonts w:ascii="仿宋" w:eastAsia="仿宋" w:hAnsi="仿宋" w:cs="仿宋"/>
        </w:rPr>
        <w:t>4821.6</w:t>
      </w:r>
      <w:r>
        <w:rPr>
          <w:rFonts w:ascii="仿宋" w:eastAsia="仿宋" w:hAnsi="仿宋" w:cs="仿宋"/>
        </w:rPr>
        <w:t>万元。持续推进社保基金管理巩固提升行动，内外结合多方联动构建完善</w:t>
      </w:r>
      <w:r>
        <w:rPr>
          <w:rFonts w:ascii="仿宋" w:eastAsia="仿宋" w:hAnsi="仿宋" w:cs="仿宋"/>
        </w:rPr>
        <w:t>“1+1+N”</w:t>
      </w:r>
      <w:r>
        <w:rPr>
          <w:rFonts w:ascii="仿宋" w:eastAsia="仿宋" w:hAnsi="仿宋" w:cs="仿宋"/>
        </w:rPr>
        <w:t>社</w:t>
      </w:r>
      <w:r>
        <w:rPr>
          <w:rFonts w:ascii="仿宋" w:eastAsia="仿宋" w:hAnsi="仿宋" w:cs="仿宋"/>
        </w:rPr>
        <w:lastRenderedPageBreak/>
        <w:t>保基金防控体系。持续开展</w:t>
      </w:r>
      <w:r>
        <w:rPr>
          <w:rFonts w:ascii="仿宋" w:eastAsia="仿宋" w:hAnsi="仿宋" w:cs="仿宋"/>
        </w:rPr>
        <w:t>“</w:t>
      </w:r>
      <w:r>
        <w:rPr>
          <w:rFonts w:ascii="仿宋" w:eastAsia="仿宋" w:hAnsi="仿宋" w:cs="仿宋"/>
        </w:rPr>
        <w:t>社保三送</w:t>
      </w:r>
      <w:r>
        <w:rPr>
          <w:rFonts w:ascii="仿宋" w:eastAsia="仿宋" w:hAnsi="仿宋" w:cs="仿宋"/>
        </w:rPr>
        <w:t>”</w:t>
      </w:r>
      <w:r>
        <w:rPr>
          <w:rFonts w:ascii="仿宋" w:eastAsia="仿宋" w:hAnsi="仿宋" w:cs="仿宋"/>
        </w:rPr>
        <w:t>便民惠企服务，为</w:t>
      </w:r>
      <w:r>
        <w:rPr>
          <w:rFonts w:ascii="仿宋" w:eastAsia="仿宋" w:hAnsi="仿宋" w:cs="仿宋"/>
        </w:rPr>
        <w:t>41.17</w:t>
      </w:r>
      <w:r>
        <w:rPr>
          <w:rFonts w:ascii="仿宋" w:eastAsia="仿宋" w:hAnsi="仿宋" w:cs="仿宋"/>
        </w:rPr>
        <w:t>万名企退人员开</w:t>
      </w:r>
      <w:r>
        <w:rPr>
          <w:rFonts w:ascii="仿宋" w:eastAsia="仿宋" w:hAnsi="仿宋" w:cs="仿宋"/>
        </w:rPr>
        <w:t>展免费健康体检。</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四是健全机制防治并举，劳动关系保持稳定。健全协商协调机制，新认定市劳动关系和谐企业</w:t>
      </w:r>
      <w:r>
        <w:rPr>
          <w:rFonts w:ascii="仿宋" w:eastAsia="仿宋" w:hAnsi="仿宋" w:cs="仿宋"/>
        </w:rPr>
        <w:t>146</w:t>
      </w:r>
      <w:r>
        <w:rPr>
          <w:rFonts w:ascii="仿宋" w:eastAsia="仿宋" w:hAnsi="仿宋" w:cs="仿宋"/>
        </w:rPr>
        <w:t>家，创新推动</w:t>
      </w:r>
      <w:r>
        <w:rPr>
          <w:rFonts w:ascii="仿宋" w:eastAsia="仿宋" w:hAnsi="仿宋" w:cs="仿宋"/>
        </w:rPr>
        <w:t>T3</w:t>
      </w:r>
      <w:r>
        <w:rPr>
          <w:rFonts w:ascii="仿宋" w:eastAsia="仿宋" w:hAnsi="仿宋" w:cs="仿宋"/>
        </w:rPr>
        <w:t>出行、满帮等网约配送行业企业集体协商，调整最低工资标准至</w:t>
      </w:r>
      <w:r>
        <w:rPr>
          <w:rFonts w:ascii="仿宋" w:eastAsia="仿宋" w:hAnsi="仿宋" w:cs="仿宋"/>
        </w:rPr>
        <w:t>2490</w:t>
      </w:r>
      <w:r>
        <w:rPr>
          <w:rFonts w:ascii="仿宋" w:eastAsia="仿宋" w:hAnsi="仿宋" w:cs="仿宋"/>
        </w:rPr>
        <w:t>元</w:t>
      </w:r>
      <w:r>
        <w:rPr>
          <w:rFonts w:ascii="仿宋" w:eastAsia="仿宋" w:hAnsi="仿宋" w:cs="仿宋"/>
        </w:rPr>
        <w:t>/</w:t>
      </w:r>
      <w:r>
        <w:rPr>
          <w:rFonts w:ascii="仿宋" w:eastAsia="仿宋" w:hAnsi="仿宋" w:cs="仿宋"/>
        </w:rPr>
        <w:t>月。健全</w:t>
      </w:r>
      <w:r>
        <w:rPr>
          <w:rFonts w:ascii="仿宋" w:eastAsia="仿宋" w:hAnsi="仿宋" w:cs="仿宋"/>
        </w:rPr>
        <w:t>“</w:t>
      </w:r>
      <w:r>
        <w:rPr>
          <w:rFonts w:ascii="仿宋" w:eastAsia="仿宋" w:hAnsi="仿宋" w:cs="仿宋"/>
        </w:rPr>
        <w:t>五位一体</w:t>
      </w:r>
      <w:r>
        <w:rPr>
          <w:rFonts w:ascii="仿宋" w:eastAsia="仿宋" w:hAnsi="仿宋" w:cs="仿宋"/>
        </w:rPr>
        <w:t>”</w:t>
      </w:r>
      <w:r>
        <w:rPr>
          <w:rFonts w:ascii="仿宋" w:eastAsia="仿宋" w:hAnsi="仿宋" w:cs="仿宋"/>
        </w:rPr>
        <w:t>矛盾纠纷多元化解机制，高效运行市、区</w:t>
      </w:r>
      <w:r>
        <w:rPr>
          <w:rFonts w:ascii="仿宋" w:eastAsia="仿宋" w:hAnsi="仿宋" w:cs="仿宋"/>
        </w:rPr>
        <w:t>14</w:t>
      </w:r>
      <w:r>
        <w:rPr>
          <w:rFonts w:ascii="仿宋" w:eastAsia="仿宋" w:hAnsi="仿宋" w:cs="仿宋"/>
        </w:rPr>
        <w:t>家劳动人事争议联合调处中心，设立新就业形态劳动纠纷一站式调解中心，</w:t>
      </w:r>
      <w:r>
        <w:rPr>
          <w:rFonts w:ascii="仿宋" w:eastAsia="仿宋" w:hAnsi="仿宋" w:cs="仿宋"/>
        </w:rPr>
        <w:t>“1+13+N”</w:t>
      </w:r>
      <w:r>
        <w:rPr>
          <w:rFonts w:ascii="仿宋" w:eastAsia="仿宋" w:hAnsi="仿宋" w:cs="仿宋"/>
        </w:rPr>
        <w:t>劳动人事争议多元调处模式获部、省推广。紧密对接法院强化裁审衔接，力争案件在仲裁阶段实现化解，全市法院新收劳动人事争议案件同比下降</w:t>
      </w:r>
      <w:r>
        <w:rPr>
          <w:rFonts w:ascii="仿宋" w:eastAsia="仿宋" w:hAnsi="仿宋" w:cs="仿宋"/>
        </w:rPr>
        <w:t>10.7%</w:t>
      </w:r>
      <w:r>
        <w:rPr>
          <w:rFonts w:ascii="仿宋" w:eastAsia="仿宋" w:hAnsi="仿宋" w:cs="仿宋"/>
        </w:rPr>
        <w:t>，为近年来首次下降。加强治理欠薪协同联动，</w:t>
      </w:r>
      <w:r>
        <w:rPr>
          <w:rFonts w:ascii="仿宋" w:eastAsia="仿宋" w:hAnsi="仿宋" w:cs="仿宋"/>
        </w:rPr>
        <w:t>持续开展根治欠薪</w:t>
      </w:r>
      <w:r>
        <w:rPr>
          <w:rFonts w:ascii="仿宋" w:eastAsia="仿宋" w:hAnsi="仿宋" w:cs="仿宋"/>
        </w:rPr>
        <w:t>“</w:t>
      </w:r>
      <w:r>
        <w:rPr>
          <w:rFonts w:ascii="仿宋" w:eastAsia="仿宋" w:hAnsi="仿宋" w:cs="仿宋"/>
        </w:rPr>
        <w:t>四季</w:t>
      </w:r>
      <w:r>
        <w:rPr>
          <w:rFonts w:ascii="仿宋" w:eastAsia="仿宋" w:hAnsi="仿宋" w:cs="仿宋"/>
        </w:rPr>
        <w:t>”</w:t>
      </w:r>
      <w:r>
        <w:rPr>
          <w:rFonts w:ascii="仿宋" w:eastAsia="仿宋" w:hAnsi="仿宋" w:cs="仿宋"/>
        </w:rPr>
        <w:t>专项行动，聚焦重点领域常态化开展欠薪隐患排查化解和跨部门联合执法，全面推进保障工资支付各项制度长效落实，为</w:t>
      </w:r>
      <w:r>
        <w:rPr>
          <w:rFonts w:ascii="仿宋" w:eastAsia="仿宋" w:hAnsi="仿宋" w:cs="仿宋"/>
        </w:rPr>
        <w:t>3.04</w:t>
      </w:r>
      <w:r>
        <w:rPr>
          <w:rFonts w:ascii="仿宋" w:eastAsia="仿宋" w:hAnsi="仿宋" w:cs="仿宋"/>
        </w:rPr>
        <w:t>万名劳动者追发工资等待遇</w:t>
      </w:r>
      <w:r>
        <w:rPr>
          <w:rFonts w:ascii="仿宋" w:eastAsia="仿宋" w:hAnsi="仿宋" w:cs="仿宋"/>
        </w:rPr>
        <w:t>2.33</w:t>
      </w:r>
      <w:r>
        <w:rPr>
          <w:rFonts w:ascii="仿宋" w:eastAsia="仿宋" w:hAnsi="仿宋" w:cs="仿宋"/>
        </w:rPr>
        <w:t>亿元，连续</w:t>
      </w:r>
      <w:r>
        <w:rPr>
          <w:rFonts w:ascii="仿宋" w:eastAsia="仿宋" w:hAnsi="仿宋" w:cs="仿宋"/>
        </w:rPr>
        <w:t>7</w:t>
      </w:r>
      <w:r>
        <w:rPr>
          <w:rFonts w:ascii="仿宋" w:eastAsia="仿宋" w:hAnsi="仿宋" w:cs="仿宋"/>
        </w:rPr>
        <w:t>年获省对市保障农民工工资支付工作考核</w:t>
      </w:r>
      <w:r>
        <w:rPr>
          <w:rFonts w:ascii="仿宋" w:eastAsia="仿宋" w:hAnsi="仿宋" w:cs="仿宋"/>
        </w:rPr>
        <w:t>A</w:t>
      </w:r>
      <w:r>
        <w:rPr>
          <w:rFonts w:ascii="仿宋" w:eastAsia="仿宋" w:hAnsi="仿宋" w:cs="仿宋"/>
        </w:rPr>
        <w:t>级等次。</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五是严实作风提升效能，人社服务更加优良。深度融入长三角一体化及南京都市圈发展，就业创业、社保服务、人才交流、劳动维权等领域一体化合作深入推进。全国首家跨省域政府所属人才交流服务平台</w:t>
      </w:r>
      <w:r>
        <w:rPr>
          <w:rFonts w:ascii="仿宋" w:eastAsia="仿宋" w:hAnsi="仿宋" w:cs="仿宋"/>
        </w:rPr>
        <w:t>“</w:t>
      </w:r>
      <w:r>
        <w:rPr>
          <w:rFonts w:ascii="仿宋" w:eastAsia="仿宋" w:hAnsi="仿宋" w:cs="仿宋"/>
        </w:rPr>
        <w:t>长三角招聘专区</w:t>
      </w:r>
      <w:r>
        <w:rPr>
          <w:rFonts w:ascii="仿宋" w:eastAsia="仿宋" w:hAnsi="仿宋" w:cs="仿宋"/>
        </w:rPr>
        <w:t>”</w:t>
      </w:r>
      <w:r>
        <w:rPr>
          <w:rFonts w:ascii="仿宋" w:eastAsia="仿宋" w:hAnsi="仿宋" w:cs="仿宋"/>
        </w:rPr>
        <w:t>上线运行，实现跨三省</w:t>
      </w:r>
      <w:r>
        <w:rPr>
          <w:rFonts w:ascii="仿宋" w:eastAsia="仿宋" w:hAnsi="仿宋" w:cs="仿宋"/>
        </w:rPr>
        <w:t>40</w:t>
      </w:r>
      <w:r>
        <w:rPr>
          <w:rFonts w:ascii="仿宋" w:eastAsia="仿宋" w:hAnsi="仿宋" w:cs="仿宋"/>
        </w:rPr>
        <w:t>个地市之间的就业信息</w:t>
      </w:r>
      <w:r>
        <w:rPr>
          <w:rFonts w:ascii="仿宋" w:eastAsia="仿宋" w:hAnsi="仿宋" w:cs="仿宋"/>
        </w:rPr>
        <w:t>“</w:t>
      </w:r>
      <w:r>
        <w:rPr>
          <w:rFonts w:ascii="仿宋" w:eastAsia="仿宋" w:hAnsi="仿宋" w:cs="仿宋"/>
        </w:rPr>
        <w:t>一站式</w:t>
      </w:r>
      <w:r>
        <w:rPr>
          <w:rFonts w:ascii="仿宋" w:eastAsia="仿宋" w:hAnsi="仿宋" w:cs="仿宋"/>
        </w:rPr>
        <w:t>”</w:t>
      </w:r>
      <w:r>
        <w:rPr>
          <w:rFonts w:ascii="仿宋" w:eastAsia="仿宋" w:hAnsi="仿宋" w:cs="仿宋"/>
        </w:rPr>
        <w:t>展示、招聘岗位</w:t>
      </w:r>
      <w:r>
        <w:rPr>
          <w:rFonts w:ascii="仿宋" w:eastAsia="仿宋" w:hAnsi="仿宋" w:cs="仿宋"/>
        </w:rPr>
        <w:t>“</w:t>
      </w:r>
      <w:r>
        <w:rPr>
          <w:rFonts w:ascii="仿宋" w:eastAsia="仿宋" w:hAnsi="仿宋" w:cs="仿宋"/>
        </w:rPr>
        <w:t>一体式</w:t>
      </w:r>
      <w:r>
        <w:rPr>
          <w:rFonts w:ascii="仿宋" w:eastAsia="仿宋" w:hAnsi="仿宋" w:cs="仿宋"/>
        </w:rPr>
        <w:t>”</w:t>
      </w:r>
      <w:r>
        <w:rPr>
          <w:rFonts w:ascii="仿宋" w:eastAsia="仿宋" w:hAnsi="仿宋" w:cs="仿宋"/>
        </w:rPr>
        <w:t>检索、</w:t>
      </w:r>
      <w:r>
        <w:rPr>
          <w:rFonts w:ascii="仿宋" w:eastAsia="仿宋" w:hAnsi="仿宋" w:cs="仿宋"/>
        </w:rPr>
        <w:t>求职简历</w:t>
      </w:r>
      <w:r>
        <w:rPr>
          <w:rFonts w:ascii="仿宋" w:eastAsia="仿宋" w:hAnsi="仿宋" w:cs="仿宋"/>
        </w:rPr>
        <w:t>“</w:t>
      </w:r>
      <w:r>
        <w:rPr>
          <w:rFonts w:ascii="仿宋" w:eastAsia="仿宋" w:hAnsi="仿宋" w:cs="仿宋"/>
        </w:rPr>
        <w:t>一键式</w:t>
      </w:r>
      <w:r>
        <w:rPr>
          <w:rFonts w:ascii="仿宋" w:eastAsia="仿宋" w:hAnsi="仿宋" w:cs="仿宋"/>
        </w:rPr>
        <w:t>”</w:t>
      </w:r>
      <w:r>
        <w:rPr>
          <w:rFonts w:ascii="仿宋" w:eastAsia="仿宋" w:hAnsi="仿宋" w:cs="仿宋"/>
        </w:rPr>
        <w:t>投递。强化智慧赋能，推进人社服务</w:t>
      </w:r>
      <w:r>
        <w:rPr>
          <w:rFonts w:ascii="仿宋" w:eastAsia="仿宋" w:hAnsi="仿宋" w:cs="仿宋"/>
        </w:rPr>
        <w:t>“</w:t>
      </w:r>
      <w:r>
        <w:rPr>
          <w:rFonts w:ascii="仿宋" w:eastAsia="仿宋" w:hAnsi="仿宋" w:cs="仿宋"/>
        </w:rPr>
        <w:t>不见面</w:t>
      </w:r>
      <w:r>
        <w:rPr>
          <w:rFonts w:ascii="仿宋" w:eastAsia="仿宋" w:hAnsi="仿宋" w:cs="仿宋"/>
        </w:rPr>
        <w:t>”“</w:t>
      </w:r>
      <w:r>
        <w:rPr>
          <w:rFonts w:ascii="仿宋" w:eastAsia="仿宋" w:hAnsi="仿宋" w:cs="仿宋"/>
        </w:rPr>
        <w:t>一次办</w:t>
      </w:r>
      <w:r>
        <w:rPr>
          <w:rFonts w:ascii="仿宋" w:eastAsia="仿宋" w:hAnsi="仿宋" w:cs="仿宋"/>
        </w:rPr>
        <w:t>”</w:t>
      </w:r>
      <w:r>
        <w:rPr>
          <w:rFonts w:ascii="仿宋" w:eastAsia="仿宋" w:hAnsi="仿宋" w:cs="仿宋"/>
        </w:rPr>
        <w:t>，用人单位社保登记等</w:t>
      </w:r>
      <w:r>
        <w:rPr>
          <w:rFonts w:ascii="仿宋" w:eastAsia="仿宋" w:hAnsi="仿宋" w:cs="仿宋"/>
        </w:rPr>
        <w:t>20</w:t>
      </w:r>
      <w:r>
        <w:rPr>
          <w:rFonts w:ascii="仿宋" w:eastAsia="仿宋" w:hAnsi="仿宋" w:cs="仿宋"/>
        </w:rPr>
        <w:t>个事项上线</w:t>
      </w:r>
      <w:r>
        <w:rPr>
          <w:rFonts w:ascii="仿宋" w:eastAsia="仿宋" w:hAnsi="仿宋" w:cs="仿宋"/>
        </w:rPr>
        <w:t>“</w:t>
      </w:r>
      <w:r>
        <w:rPr>
          <w:rFonts w:ascii="仿宋" w:eastAsia="仿宋" w:hAnsi="仿宋" w:cs="仿宋"/>
        </w:rPr>
        <w:t>宁企通</w:t>
      </w:r>
      <w:r>
        <w:rPr>
          <w:rFonts w:ascii="仿宋" w:eastAsia="仿宋" w:hAnsi="仿宋" w:cs="仿宋"/>
        </w:rPr>
        <w:t>”</w:t>
      </w:r>
      <w:r>
        <w:rPr>
          <w:rFonts w:ascii="仿宋" w:eastAsia="仿宋" w:hAnsi="仿宋" w:cs="仿宋"/>
        </w:rPr>
        <w:t>综合服务平台。社保卡实现交通、文旅、养老助餐助浴、</w:t>
      </w:r>
      <w:r>
        <w:rPr>
          <w:rFonts w:ascii="仿宋" w:eastAsia="仿宋" w:hAnsi="仿宋" w:cs="仿宋"/>
        </w:rPr>
        <w:lastRenderedPageBreak/>
        <w:t>校园服务等多场景居民服务</w:t>
      </w:r>
      <w:r>
        <w:rPr>
          <w:rFonts w:ascii="仿宋" w:eastAsia="仿宋" w:hAnsi="仿宋" w:cs="仿宋"/>
        </w:rPr>
        <w:t>“</w:t>
      </w:r>
      <w:r>
        <w:rPr>
          <w:rFonts w:ascii="仿宋" w:eastAsia="仿宋" w:hAnsi="仿宋" w:cs="仿宋"/>
        </w:rPr>
        <w:t>一卡通用</w:t>
      </w:r>
      <w:r>
        <w:rPr>
          <w:rFonts w:ascii="仿宋" w:eastAsia="仿宋" w:hAnsi="仿宋" w:cs="仿宋"/>
        </w:rPr>
        <w:t>”</w:t>
      </w:r>
      <w:r>
        <w:rPr>
          <w:rFonts w:ascii="仿宋" w:eastAsia="仿宋" w:hAnsi="仿宋" w:cs="仿宋"/>
        </w:rPr>
        <w:t>。全国公共就业服务能力示范项目圆满收官，覆盖就业创业全过程的公共服务体系进一步健全优化。深化打造</w:t>
      </w:r>
      <w:r>
        <w:rPr>
          <w:rFonts w:ascii="仿宋" w:eastAsia="仿宋" w:hAnsi="仿宋" w:cs="仿宋"/>
        </w:rPr>
        <w:t>“15</w:t>
      </w:r>
      <w:r>
        <w:rPr>
          <w:rFonts w:ascii="仿宋" w:eastAsia="仿宋" w:hAnsi="仿宋" w:cs="仿宋"/>
        </w:rPr>
        <w:t>分钟人社服务圈</w:t>
      </w:r>
      <w:r>
        <w:rPr>
          <w:rFonts w:ascii="仿宋" w:eastAsia="仿宋" w:hAnsi="仿宋" w:cs="仿宋"/>
        </w:rPr>
        <w:t>”</w:t>
      </w:r>
      <w:r>
        <w:rPr>
          <w:rFonts w:ascii="仿宋" w:eastAsia="仿宋" w:hAnsi="仿宋" w:cs="仿宋"/>
        </w:rPr>
        <w:t>，社银合作覆盖</w:t>
      </w:r>
      <w:r>
        <w:rPr>
          <w:rFonts w:ascii="仿宋" w:eastAsia="仿宋" w:hAnsi="仿宋" w:cs="仿宋"/>
        </w:rPr>
        <w:t>11</w:t>
      </w:r>
      <w:r>
        <w:rPr>
          <w:rFonts w:ascii="仿宋" w:eastAsia="仿宋" w:hAnsi="仿宋" w:cs="仿宋"/>
        </w:rPr>
        <w:t>家银行、</w:t>
      </w:r>
      <w:r>
        <w:rPr>
          <w:rFonts w:ascii="仿宋" w:eastAsia="仿宋" w:hAnsi="仿宋" w:cs="仿宋"/>
        </w:rPr>
        <w:t>940</w:t>
      </w:r>
      <w:r>
        <w:rPr>
          <w:rFonts w:ascii="仿宋" w:eastAsia="仿宋" w:hAnsi="仿宋" w:cs="仿宋"/>
        </w:rPr>
        <w:t>多个网点。用好</w:t>
      </w:r>
      <w:r>
        <w:rPr>
          <w:rFonts w:ascii="仿宋" w:eastAsia="仿宋" w:hAnsi="仿宋" w:cs="仿宋"/>
        </w:rPr>
        <w:t>148</w:t>
      </w:r>
      <w:r>
        <w:rPr>
          <w:rFonts w:ascii="仿宋" w:eastAsia="仿宋" w:hAnsi="仿宋" w:cs="仿宋"/>
        </w:rPr>
        <w:t>个服务企业群实时对接、跟踪服务，做优局门户网站和</w:t>
      </w:r>
      <w:r>
        <w:rPr>
          <w:rFonts w:ascii="仿宋" w:eastAsia="仿宋" w:hAnsi="仿宋" w:cs="仿宋"/>
        </w:rPr>
        <w:t>“</w:t>
      </w:r>
      <w:r>
        <w:rPr>
          <w:rFonts w:ascii="仿宋" w:eastAsia="仿宋" w:hAnsi="仿宋" w:cs="仿宋"/>
        </w:rPr>
        <w:t>南京人社</w:t>
      </w:r>
      <w:r>
        <w:rPr>
          <w:rFonts w:ascii="仿宋" w:eastAsia="仿宋" w:hAnsi="仿宋" w:cs="仿宋"/>
        </w:rPr>
        <w:t>”</w:t>
      </w:r>
      <w:r>
        <w:rPr>
          <w:rFonts w:ascii="仿宋" w:eastAsia="仿宋" w:hAnsi="仿宋" w:cs="仿宋"/>
        </w:rPr>
        <w:t>等微信公众号，人社</w:t>
      </w:r>
      <w:r>
        <w:rPr>
          <w:rFonts w:ascii="仿宋" w:eastAsia="仿宋" w:hAnsi="仿宋" w:cs="仿宋"/>
        </w:rPr>
        <w:t>12333</w:t>
      </w:r>
      <w:r>
        <w:rPr>
          <w:rFonts w:ascii="仿宋" w:eastAsia="仿宋" w:hAnsi="仿宋" w:cs="仿宋"/>
        </w:rPr>
        <w:t>咨询服务全天候运行、综合满意度</w:t>
      </w:r>
      <w:r>
        <w:rPr>
          <w:rFonts w:ascii="仿宋" w:eastAsia="仿宋" w:hAnsi="仿宋" w:cs="仿宋"/>
        </w:rPr>
        <w:t>99.77%</w:t>
      </w:r>
      <w:r>
        <w:rPr>
          <w:rFonts w:ascii="仿宋" w:eastAsia="仿宋" w:hAnsi="仿宋" w:cs="仿宋"/>
        </w:rPr>
        <w:t>。</w:t>
      </w:r>
    </w:p>
    <w:p w:rsidR="00E27AD1" w:rsidRDefault="002D7FCF">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六是政治</w:t>
      </w:r>
      <w:r>
        <w:rPr>
          <w:rFonts w:ascii="仿宋" w:eastAsia="仿宋" w:hAnsi="仿宋" w:cs="仿宋"/>
        </w:rPr>
        <w:t>引领凝心铸魂，人社队伍作风更优。强化思想武装，深入学习贯彻习近平新时代中国特色社会主义思想和党的二十届三中全会精神等，开展集中理论学习</w:t>
      </w:r>
      <w:r>
        <w:rPr>
          <w:rFonts w:ascii="仿宋" w:eastAsia="仿宋" w:hAnsi="仿宋" w:cs="仿宋"/>
        </w:rPr>
        <w:t>40</w:t>
      </w:r>
      <w:r>
        <w:rPr>
          <w:rFonts w:ascii="仿宋" w:eastAsia="仿宋" w:hAnsi="仿宋" w:cs="仿宋"/>
        </w:rPr>
        <w:t>场。落实全面从严治党，制定实施机关党建</w:t>
      </w:r>
      <w:r>
        <w:rPr>
          <w:rFonts w:ascii="仿宋" w:eastAsia="仿宋" w:hAnsi="仿宋" w:cs="仿宋"/>
        </w:rPr>
        <w:t>“</w:t>
      </w:r>
      <w:r>
        <w:rPr>
          <w:rFonts w:ascii="仿宋" w:eastAsia="仿宋" w:hAnsi="仿宋" w:cs="仿宋"/>
        </w:rPr>
        <w:t>三级责任清单</w:t>
      </w:r>
      <w:r>
        <w:rPr>
          <w:rFonts w:ascii="仿宋" w:eastAsia="仿宋" w:hAnsi="仿宋" w:cs="仿宋"/>
        </w:rPr>
        <w:t>”</w:t>
      </w:r>
      <w:r>
        <w:rPr>
          <w:rFonts w:ascii="仿宋" w:eastAsia="仿宋" w:hAnsi="仿宋" w:cs="仿宋"/>
        </w:rPr>
        <w:t>，制发局党组年度主体责任清单、全面从严治党工作要点和党建工作要点，开展局党组中心组理论学习</w:t>
      </w:r>
      <w:r>
        <w:rPr>
          <w:rFonts w:ascii="仿宋" w:eastAsia="仿宋" w:hAnsi="仿宋" w:cs="仿宋"/>
        </w:rPr>
        <w:t>16</w:t>
      </w:r>
      <w:r>
        <w:rPr>
          <w:rFonts w:ascii="仿宋" w:eastAsia="仿宋" w:hAnsi="仿宋" w:cs="仿宋"/>
        </w:rPr>
        <w:t>次。深化</w:t>
      </w:r>
      <w:r>
        <w:rPr>
          <w:rFonts w:ascii="仿宋" w:eastAsia="仿宋" w:hAnsi="仿宋" w:cs="仿宋"/>
        </w:rPr>
        <w:t>“</w:t>
      </w:r>
      <w:r>
        <w:rPr>
          <w:rFonts w:ascii="仿宋" w:eastAsia="仿宋" w:hAnsi="仿宋" w:cs="仿宋"/>
        </w:rPr>
        <w:t>廉洁机关</w:t>
      </w:r>
      <w:r>
        <w:rPr>
          <w:rFonts w:ascii="仿宋" w:eastAsia="仿宋" w:hAnsi="仿宋" w:cs="仿宋"/>
        </w:rPr>
        <w:t>”</w:t>
      </w:r>
      <w:r>
        <w:rPr>
          <w:rFonts w:ascii="仿宋" w:eastAsia="仿宋" w:hAnsi="仿宋" w:cs="仿宋"/>
        </w:rPr>
        <w:t>建设，巩固南京人社</w:t>
      </w:r>
      <w:r>
        <w:rPr>
          <w:rFonts w:ascii="仿宋" w:eastAsia="仿宋" w:hAnsi="仿宋" w:cs="仿宋"/>
        </w:rPr>
        <w:t>“</w:t>
      </w:r>
      <w:r>
        <w:rPr>
          <w:rFonts w:ascii="仿宋" w:eastAsia="仿宋" w:hAnsi="仿宋" w:cs="仿宋"/>
        </w:rPr>
        <w:t>清廉苑</w:t>
      </w:r>
      <w:r>
        <w:rPr>
          <w:rFonts w:ascii="仿宋" w:eastAsia="仿宋" w:hAnsi="仿宋" w:cs="仿宋"/>
        </w:rPr>
        <w:t>”</w:t>
      </w:r>
      <w:r>
        <w:rPr>
          <w:rFonts w:ascii="仿宋" w:eastAsia="仿宋" w:hAnsi="仿宋" w:cs="仿宋"/>
        </w:rPr>
        <w:t>廉政品牌建设成果，开展警示教育活动</w:t>
      </w:r>
      <w:r>
        <w:rPr>
          <w:rFonts w:ascii="仿宋" w:eastAsia="仿宋" w:hAnsi="仿宋" w:cs="仿宋"/>
        </w:rPr>
        <w:t>35</w:t>
      </w:r>
      <w:r>
        <w:rPr>
          <w:rFonts w:ascii="仿宋" w:eastAsia="仿宋" w:hAnsi="仿宋" w:cs="仿宋"/>
        </w:rPr>
        <w:t>场，深入践行监督执纪</w:t>
      </w:r>
      <w:r>
        <w:rPr>
          <w:rFonts w:ascii="仿宋" w:eastAsia="仿宋" w:hAnsi="仿宋" w:cs="仿宋"/>
        </w:rPr>
        <w:t>“</w:t>
      </w:r>
      <w:r>
        <w:rPr>
          <w:rFonts w:ascii="仿宋" w:eastAsia="仿宋" w:hAnsi="仿宋" w:cs="仿宋"/>
        </w:rPr>
        <w:t>四种形态</w:t>
      </w:r>
      <w:r>
        <w:rPr>
          <w:rFonts w:ascii="仿宋" w:eastAsia="仿宋" w:hAnsi="仿宋" w:cs="仿宋"/>
        </w:rPr>
        <w:t>”</w:t>
      </w:r>
      <w:r>
        <w:rPr>
          <w:rFonts w:ascii="仿宋" w:eastAsia="仿宋" w:hAnsi="仿宋" w:cs="仿宋"/>
        </w:rPr>
        <w:t>，执行党政纪处分</w:t>
      </w:r>
      <w:r>
        <w:rPr>
          <w:rFonts w:ascii="仿宋" w:eastAsia="仿宋" w:hAnsi="仿宋" w:cs="仿宋"/>
        </w:rPr>
        <w:t>1</w:t>
      </w:r>
      <w:r>
        <w:rPr>
          <w:rFonts w:ascii="仿宋" w:eastAsia="仿宋" w:hAnsi="仿宋" w:cs="仿宋"/>
        </w:rPr>
        <w:t>人、批评教育</w:t>
      </w:r>
      <w:r>
        <w:rPr>
          <w:rFonts w:ascii="仿宋" w:eastAsia="仿宋" w:hAnsi="仿宋" w:cs="仿宋"/>
        </w:rPr>
        <w:t>2</w:t>
      </w:r>
      <w:r>
        <w:rPr>
          <w:rFonts w:ascii="仿宋" w:eastAsia="仿宋" w:hAnsi="仿宋" w:cs="仿宋"/>
        </w:rPr>
        <w:t>人。深入抓好机关作风和系统行风建设，持续开展岗位技能练兵比武和</w:t>
      </w:r>
      <w:r>
        <w:rPr>
          <w:rFonts w:ascii="仿宋" w:eastAsia="仿宋" w:hAnsi="仿宋" w:cs="仿宋"/>
        </w:rPr>
        <w:t>“</w:t>
      </w:r>
      <w:r>
        <w:rPr>
          <w:rFonts w:ascii="仿宋" w:eastAsia="仿宋" w:hAnsi="仿宋" w:cs="仿宋"/>
        </w:rPr>
        <w:t>人社学思行</w:t>
      </w:r>
      <w:r>
        <w:rPr>
          <w:rFonts w:ascii="仿宋" w:eastAsia="仿宋" w:hAnsi="仿宋" w:cs="仿宋"/>
        </w:rPr>
        <w:t>”</w:t>
      </w:r>
      <w:r>
        <w:rPr>
          <w:rFonts w:ascii="仿宋" w:eastAsia="仿宋" w:hAnsi="仿宋" w:cs="仿宋"/>
        </w:rPr>
        <w:t>，积极投身</w:t>
      </w:r>
      <w:r>
        <w:rPr>
          <w:rFonts w:ascii="仿宋" w:eastAsia="仿宋" w:hAnsi="仿宋" w:cs="仿宋"/>
        </w:rPr>
        <w:t>“</w:t>
      </w:r>
      <w:r>
        <w:rPr>
          <w:rFonts w:ascii="仿宋" w:eastAsia="仿宋" w:hAnsi="仿宋" w:cs="仿宋"/>
        </w:rPr>
        <w:t>五拼五比晒五榜勠力同心促发展</w:t>
      </w:r>
      <w:r>
        <w:rPr>
          <w:rFonts w:ascii="仿宋" w:eastAsia="仿宋" w:hAnsi="仿宋" w:cs="仿宋"/>
        </w:rPr>
        <w:t>”</w:t>
      </w:r>
      <w:r>
        <w:rPr>
          <w:rFonts w:ascii="仿宋" w:eastAsia="仿宋" w:hAnsi="仿宋" w:cs="仿宋"/>
        </w:rPr>
        <w:t>竞赛活动，立足事业发展需要开展干部选任、职级晋升和轮岗交流，不断提升干部队伍履职能力。</w:t>
      </w:r>
    </w:p>
    <w:p w:rsidR="00E27AD1" w:rsidRDefault="00E27AD1">
      <w:pPr>
        <w:pStyle w:val="a4"/>
        <w:spacing w:line="235" w:lineRule="auto"/>
        <w:ind w:leftChars="300" w:left="669" w:right="2414" w:hanging="9"/>
        <w:jc w:val="both"/>
        <w:rPr>
          <w:rFonts w:ascii="仿宋" w:eastAsia="仿宋" w:hAnsi="仿宋" w:cs="仿宋"/>
          <w:lang w:val="en-US"/>
        </w:rPr>
        <w:sectPr w:rsidR="00E27AD1">
          <w:footerReference w:type="default" r:id="rId10"/>
          <w:pgSz w:w="11906" w:h="16838"/>
          <w:pgMar w:top="1580" w:right="700" w:bottom="770" w:left="1020" w:header="283" w:footer="280" w:gutter="0"/>
          <w:pgNumType w:fmt="numberInDash"/>
          <w:cols w:space="720"/>
          <w:formProt w:val="0"/>
          <w:docGrid w:linePitch="100"/>
        </w:sectPr>
      </w:pPr>
    </w:p>
    <w:p w:rsidR="00E27AD1" w:rsidRDefault="00E27AD1">
      <w:pPr>
        <w:pStyle w:val="a4"/>
        <w:spacing w:line="360" w:lineRule="auto"/>
        <w:ind w:leftChars="200" w:left="440" w:rightChars="229" w:right="504" w:firstLine="658"/>
        <w:jc w:val="both"/>
        <w:rPr>
          <w:rFonts w:ascii="仿宋" w:eastAsia="仿宋" w:hAnsi="仿宋" w:cs="仿宋"/>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E27AD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27AD1" w:rsidRDefault="002D7FCF">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E27AD1" w:rsidRDefault="002D7FCF">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南京市人力资源和社会保障局</w:t>
      </w:r>
    </w:p>
    <w:p w:rsidR="00E27AD1" w:rsidRDefault="002D7FCF">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E27AD1">
        <w:trPr>
          <w:trHeight w:val="544"/>
          <w:jc w:val="center"/>
        </w:trPr>
        <w:tc>
          <w:tcPr>
            <w:tcW w:w="10447" w:type="dxa"/>
            <w:gridSpan w:val="5"/>
          </w:tcPr>
          <w:p w:rsidR="00E27AD1" w:rsidRDefault="002D7FCF">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E27AD1">
        <w:trPr>
          <w:trHeight w:val="348"/>
          <w:jc w:val="center"/>
        </w:trPr>
        <w:tc>
          <w:tcPr>
            <w:tcW w:w="3468" w:type="dxa"/>
          </w:tcPr>
          <w:p w:rsidR="00E27AD1" w:rsidRDefault="00E27AD1">
            <w:pPr>
              <w:rPr>
                <w:rFonts w:ascii="仿宋" w:eastAsia="仿宋" w:hAnsi="仿宋" w:cs="仿宋"/>
                <w:color w:val="000000"/>
                <w:sz w:val="20"/>
              </w:rPr>
            </w:pPr>
          </w:p>
        </w:tc>
        <w:tc>
          <w:tcPr>
            <w:tcW w:w="1777" w:type="dxa"/>
          </w:tcPr>
          <w:p w:rsidR="00E27AD1" w:rsidRDefault="00E27AD1">
            <w:pPr>
              <w:rPr>
                <w:rFonts w:ascii="仿宋" w:eastAsia="仿宋" w:hAnsi="仿宋" w:cs="仿宋"/>
                <w:color w:val="000000"/>
                <w:sz w:val="20"/>
              </w:rPr>
            </w:pPr>
          </w:p>
        </w:tc>
        <w:tc>
          <w:tcPr>
            <w:tcW w:w="5202" w:type="dxa"/>
            <w:gridSpan w:val="3"/>
          </w:tcPr>
          <w:p w:rsidR="00E27AD1" w:rsidRDefault="002D7FCF">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E27AD1">
        <w:trPr>
          <w:trHeight w:val="333"/>
          <w:jc w:val="center"/>
        </w:trPr>
        <w:tc>
          <w:tcPr>
            <w:tcW w:w="7280" w:type="dxa"/>
            <w:gridSpan w:val="3"/>
            <w:tcBorders>
              <w:bottom w:val="single" w:sz="4" w:space="0" w:color="000000"/>
            </w:tcBorders>
            <w:vAlign w:val="center"/>
          </w:tcPr>
          <w:p w:rsidR="00E27AD1" w:rsidRDefault="002D7FCF">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南京市人力资源和社会保障局</w:t>
            </w:r>
          </w:p>
        </w:tc>
        <w:tc>
          <w:tcPr>
            <w:tcW w:w="3167" w:type="dxa"/>
            <w:gridSpan w:val="2"/>
            <w:tcBorders>
              <w:bottom w:val="single" w:sz="4" w:space="0" w:color="000000"/>
            </w:tcBorders>
            <w:vAlign w:val="center"/>
          </w:tcPr>
          <w:p w:rsidR="00E27AD1" w:rsidRDefault="002D7FCF">
            <w:pPr>
              <w:jc w:val="right"/>
              <w:rPr>
                <w:rFonts w:ascii="仿宋" w:eastAsia="仿宋" w:hAnsi="仿宋" w:cs="仿宋"/>
                <w:color w:val="000000"/>
              </w:rPr>
            </w:pPr>
            <w:r>
              <w:rPr>
                <w:rFonts w:ascii="仿宋" w:eastAsia="仿宋" w:hAnsi="仿宋" w:cs="仿宋" w:hint="eastAsia"/>
                <w:color w:val="000000"/>
              </w:rPr>
              <w:t>金额单位：万元</w:t>
            </w:r>
          </w:p>
        </w:tc>
      </w:tr>
      <w:tr w:rsidR="00E27AD1">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color w:val="000000"/>
                <w:lang w:eastAsia="ar-SA"/>
              </w:rPr>
              <w:t>支出</w:t>
            </w:r>
          </w:p>
        </w:tc>
      </w:tr>
      <w:tr w:rsidR="00E27AD1">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color w:val="000000"/>
                <w:lang w:eastAsia="ar-SA"/>
              </w:rPr>
              <w:t>决算数</w:t>
            </w: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1,185.83</w:t>
            </w: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7,673.77</w:t>
            </w: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2,554.34</w:t>
            </w: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E27AD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keepNext/>
              <w:keepLines/>
              <w:jc w:val="right"/>
              <w:rPr>
                <w:rFonts w:ascii="仿宋" w:eastAsia="仿宋" w:hAnsi="仿宋" w:cs="仿宋"/>
                <w:color w:val="000000"/>
                <w:lang w:eastAsia="ar-SA"/>
              </w:rPr>
            </w:pPr>
          </w:p>
        </w:tc>
      </w:tr>
      <w:tr w:rsidR="00E27AD1">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color w:val="000000"/>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color w:val="000000"/>
              </w:rPr>
            </w:pPr>
            <w:r>
              <w:rPr>
                <w:rFonts w:ascii="仿宋" w:eastAsia="仿宋" w:hAnsi="仿宋" w:cs="仿宋" w:hint="eastAsia"/>
                <w:color w:val="000000"/>
                <w:lang w:eastAsia="ar-SA"/>
              </w:rPr>
              <w:t>11,413.94</w:t>
            </w:r>
          </w:p>
        </w:tc>
      </w:tr>
      <w:tr w:rsidR="00E27AD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color w:val="000000"/>
              </w:rPr>
            </w:pPr>
          </w:p>
        </w:tc>
      </w:tr>
      <w:tr w:rsidR="00E27AD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color w:val="000000"/>
              </w:rPr>
            </w:pPr>
          </w:p>
        </w:tc>
      </w:tr>
      <w:tr w:rsidR="00E27AD1">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E27AD1" w:rsidRDefault="00E27AD1">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E27AD1" w:rsidRDefault="00E27AD1">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E27AD1" w:rsidRDefault="00E27AD1">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E27AD1" w:rsidRDefault="00E27AD1">
            <w:pPr>
              <w:rPr>
                <w:rFonts w:ascii="仿宋" w:eastAsia="仿宋" w:hAnsi="仿宋" w:cs="仿宋"/>
                <w:color w:val="000000"/>
              </w:rPr>
            </w:pPr>
          </w:p>
        </w:tc>
      </w:tr>
      <w:tr w:rsidR="00E27AD1">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color w:val="000000"/>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color w:val="000000"/>
              </w:rPr>
            </w:pPr>
            <w:r>
              <w:rPr>
                <w:rFonts w:ascii="仿宋" w:eastAsia="仿宋" w:hAnsi="仿宋" w:cs="仿宋" w:hint="eastAsia"/>
                <w:color w:val="000000"/>
                <w:lang w:eastAsia="ar-SA"/>
              </w:rPr>
              <w:t>11,413.94</w:t>
            </w:r>
          </w:p>
        </w:tc>
      </w:tr>
    </w:tbl>
    <w:p w:rsidR="00E27AD1" w:rsidRDefault="002D7FCF">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E27AD1" w:rsidRDefault="00E27AD1">
      <w:pPr>
        <w:spacing w:before="66"/>
        <w:jc w:val="both"/>
        <w:rPr>
          <w:rFonts w:ascii="仿宋" w:eastAsia="仿宋" w:hAnsi="仿宋" w:cs="仿宋"/>
          <w:color w:val="000000"/>
          <w:lang w:val="en-US"/>
        </w:rPr>
        <w:sectPr w:rsidR="00E27AD1">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E27AD1">
        <w:trPr>
          <w:trHeight w:val="403"/>
          <w:jc w:val="center"/>
        </w:trPr>
        <w:tc>
          <w:tcPr>
            <w:tcW w:w="16660" w:type="dxa"/>
            <w:gridSpan w:val="10"/>
            <w:vAlign w:val="center"/>
          </w:tcPr>
          <w:p w:rsidR="00E27AD1" w:rsidRDefault="002D7FCF">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E27AD1">
        <w:trPr>
          <w:trHeight w:val="247"/>
          <w:jc w:val="center"/>
        </w:trPr>
        <w:tc>
          <w:tcPr>
            <w:tcW w:w="4357" w:type="dxa"/>
            <w:gridSpan w:val="2"/>
            <w:vAlign w:val="center"/>
          </w:tcPr>
          <w:p w:rsidR="00E27AD1" w:rsidRDefault="00E27AD1">
            <w:pPr>
              <w:pStyle w:val="TableParagraph"/>
              <w:jc w:val="center"/>
              <w:rPr>
                <w:rFonts w:ascii="仿宋" w:eastAsia="仿宋" w:hAnsi="仿宋" w:cs="仿宋"/>
              </w:rPr>
            </w:pPr>
          </w:p>
        </w:tc>
        <w:tc>
          <w:tcPr>
            <w:tcW w:w="1716" w:type="dxa"/>
            <w:vAlign w:val="center"/>
          </w:tcPr>
          <w:p w:rsidR="00E27AD1" w:rsidRDefault="00E27AD1">
            <w:pPr>
              <w:pStyle w:val="TableParagraph"/>
              <w:jc w:val="center"/>
              <w:rPr>
                <w:rFonts w:ascii="仿宋" w:eastAsia="仿宋" w:hAnsi="仿宋" w:cs="仿宋"/>
              </w:rPr>
            </w:pPr>
          </w:p>
        </w:tc>
        <w:tc>
          <w:tcPr>
            <w:tcW w:w="1728" w:type="dxa"/>
            <w:vAlign w:val="center"/>
          </w:tcPr>
          <w:p w:rsidR="00E27AD1" w:rsidRDefault="00E27AD1">
            <w:pPr>
              <w:pStyle w:val="TableParagraph"/>
              <w:jc w:val="center"/>
              <w:rPr>
                <w:rFonts w:ascii="仿宋" w:eastAsia="仿宋" w:hAnsi="仿宋" w:cs="仿宋"/>
              </w:rPr>
            </w:pPr>
          </w:p>
        </w:tc>
        <w:tc>
          <w:tcPr>
            <w:tcW w:w="1686" w:type="dxa"/>
            <w:vAlign w:val="center"/>
          </w:tcPr>
          <w:p w:rsidR="00E27AD1" w:rsidRDefault="00E27AD1">
            <w:pPr>
              <w:pStyle w:val="TableParagraph"/>
              <w:jc w:val="center"/>
              <w:rPr>
                <w:rFonts w:ascii="仿宋" w:eastAsia="仿宋" w:hAnsi="仿宋" w:cs="仿宋"/>
              </w:rPr>
            </w:pPr>
          </w:p>
        </w:tc>
        <w:tc>
          <w:tcPr>
            <w:tcW w:w="3207" w:type="dxa"/>
            <w:gridSpan w:val="2"/>
            <w:vAlign w:val="center"/>
          </w:tcPr>
          <w:p w:rsidR="00E27AD1" w:rsidRDefault="00E27AD1">
            <w:pPr>
              <w:pStyle w:val="TableParagraph"/>
              <w:jc w:val="center"/>
              <w:rPr>
                <w:rFonts w:ascii="仿宋" w:eastAsia="仿宋" w:hAnsi="仿宋" w:cs="仿宋"/>
              </w:rPr>
            </w:pPr>
          </w:p>
        </w:tc>
        <w:tc>
          <w:tcPr>
            <w:tcW w:w="1263" w:type="dxa"/>
            <w:vAlign w:val="center"/>
          </w:tcPr>
          <w:p w:rsidR="00E27AD1" w:rsidRDefault="00E27AD1">
            <w:pPr>
              <w:pStyle w:val="TableParagraph"/>
              <w:jc w:val="center"/>
              <w:rPr>
                <w:rFonts w:ascii="仿宋" w:eastAsia="仿宋" w:hAnsi="仿宋" w:cs="仿宋"/>
              </w:rPr>
            </w:pPr>
          </w:p>
        </w:tc>
        <w:tc>
          <w:tcPr>
            <w:tcW w:w="2703" w:type="dxa"/>
            <w:gridSpan w:val="2"/>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E27AD1">
        <w:trPr>
          <w:trHeight w:val="247"/>
          <w:jc w:val="center"/>
        </w:trPr>
        <w:tc>
          <w:tcPr>
            <w:tcW w:w="13957" w:type="dxa"/>
            <w:gridSpan w:val="8"/>
            <w:vAlign w:val="center"/>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2703" w:type="dxa"/>
            <w:gridSpan w:val="2"/>
            <w:vAlign w:val="center"/>
          </w:tcPr>
          <w:p w:rsidR="00E27AD1" w:rsidRDefault="002D7FCF">
            <w:pPr>
              <w:pStyle w:val="TableParagraph"/>
              <w:jc w:val="right"/>
              <w:rPr>
                <w:rFonts w:ascii="仿宋" w:eastAsia="仿宋" w:hAnsi="仿宋" w:cs="仿宋"/>
              </w:rPr>
            </w:pPr>
            <w:r>
              <w:rPr>
                <w:rFonts w:ascii="仿宋" w:eastAsia="仿宋" w:hAnsi="仿宋" w:cs="仿宋" w:hint="eastAsia"/>
              </w:rPr>
              <w:t>金额单位：万元</w:t>
            </w:r>
          </w:p>
        </w:tc>
      </w:tr>
      <w:tr w:rsidR="00E27AD1">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其他收入</w:t>
            </w:r>
          </w:p>
        </w:tc>
      </w:tr>
      <w:tr w:rsidR="00E27AD1">
        <w:trPr>
          <w:cantSplit/>
          <w:trHeight w:val="502"/>
          <w:jc w:val="center"/>
        </w:trPr>
        <w:tc>
          <w:tcPr>
            <w:tcW w:w="1201"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w:t>
            </w:r>
          </w:p>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E27AD1" w:rsidRDefault="00E27AD1">
            <w:pPr>
              <w:rPr>
                <w:rFonts w:ascii="仿宋" w:eastAsia="仿宋" w:hAnsi="仿宋" w:cs="仿宋"/>
              </w:rPr>
            </w:pPr>
          </w:p>
        </w:tc>
        <w:tc>
          <w:tcPr>
            <w:tcW w:w="1728" w:type="dxa"/>
            <w:vMerge/>
            <w:tcBorders>
              <w:left w:val="single" w:sz="4" w:space="0" w:color="000000"/>
              <w:bottom w:val="single" w:sz="4" w:space="0" w:color="000000"/>
            </w:tcBorders>
          </w:tcPr>
          <w:p w:rsidR="00E27AD1" w:rsidRDefault="00E27AD1">
            <w:pPr>
              <w:rPr>
                <w:rFonts w:ascii="仿宋" w:eastAsia="仿宋" w:hAnsi="仿宋" w:cs="仿宋"/>
              </w:rPr>
            </w:pPr>
          </w:p>
        </w:tc>
        <w:tc>
          <w:tcPr>
            <w:tcW w:w="1686" w:type="dxa"/>
            <w:vMerge/>
            <w:tcBorders>
              <w:left w:val="single" w:sz="4" w:space="0" w:color="000000"/>
              <w:bottom w:val="single" w:sz="4" w:space="0" w:color="000000"/>
            </w:tcBorders>
          </w:tcPr>
          <w:p w:rsidR="00E27AD1" w:rsidRDefault="00E27AD1">
            <w:pPr>
              <w:rPr>
                <w:rFonts w:ascii="仿宋" w:eastAsia="仿宋" w:hAnsi="仿宋" w:cs="仿宋"/>
              </w:rPr>
            </w:pPr>
          </w:p>
        </w:tc>
        <w:tc>
          <w:tcPr>
            <w:tcW w:w="1503" w:type="dxa"/>
            <w:vMerge/>
            <w:tcBorders>
              <w:left w:val="single" w:sz="4" w:space="0" w:color="000000"/>
              <w:bottom w:val="single" w:sz="4" w:space="0" w:color="000000"/>
            </w:tcBorders>
            <w:vAlign w:val="center"/>
          </w:tcPr>
          <w:p w:rsidR="00E27AD1" w:rsidRDefault="00E27AD1">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E27AD1" w:rsidRDefault="00E27AD1">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E27AD1" w:rsidRDefault="00E27AD1">
            <w:pPr>
              <w:rPr>
                <w:rFonts w:ascii="仿宋" w:eastAsia="仿宋" w:hAnsi="仿宋" w:cs="仿宋"/>
              </w:rPr>
            </w:pPr>
          </w:p>
        </w:tc>
        <w:tc>
          <w:tcPr>
            <w:tcW w:w="1375" w:type="dxa"/>
            <w:vMerge/>
            <w:tcBorders>
              <w:left w:val="single" w:sz="4" w:space="0" w:color="000000"/>
              <w:bottom w:val="single" w:sz="4" w:space="0" w:color="000000"/>
            </w:tcBorders>
          </w:tcPr>
          <w:p w:rsidR="00E27AD1" w:rsidRDefault="00E27AD1">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rPr>
            </w:pPr>
          </w:p>
        </w:tc>
      </w:tr>
      <w:tr w:rsidR="00E27AD1">
        <w:trPr>
          <w:cantSplit/>
          <w:trHeight w:hRule="exact" w:val="267"/>
          <w:jc w:val="center"/>
        </w:trPr>
        <w:tc>
          <w:tcPr>
            <w:tcW w:w="4357"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E27AD1" w:rsidRDefault="002D7FCF">
            <w:pPr>
              <w:jc w:val="right"/>
              <w:rPr>
                <w:rFonts w:ascii="仿宋" w:eastAsia="仿宋" w:hAnsi="仿宋" w:cs="仿宋"/>
                <w:sz w:val="20"/>
                <w:szCs w:val="20"/>
              </w:rPr>
            </w:pPr>
            <w:r>
              <w:rPr>
                <w:rFonts w:ascii="仿宋" w:eastAsia="仿宋" w:hAnsi="仿宋" w:cs="仿宋" w:hint="eastAsia"/>
                <w:sz w:val="20"/>
                <w:szCs w:val="20"/>
              </w:rPr>
              <w:t>11,413.94</w:t>
            </w:r>
          </w:p>
        </w:tc>
        <w:tc>
          <w:tcPr>
            <w:tcW w:w="1728" w:type="dxa"/>
            <w:tcBorders>
              <w:left w:val="single" w:sz="4" w:space="0" w:color="000000"/>
              <w:bottom w:val="single" w:sz="4" w:space="0" w:color="000000"/>
            </w:tcBorders>
            <w:vAlign w:val="center"/>
          </w:tcPr>
          <w:p w:rsidR="00E27AD1" w:rsidRDefault="002D7FCF">
            <w:pPr>
              <w:jc w:val="right"/>
              <w:rPr>
                <w:rFonts w:ascii="仿宋" w:eastAsia="仿宋" w:hAnsi="仿宋" w:cs="仿宋"/>
                <w:sz w:val="20"/>
                <w:szCs w:val="20"/>
              </w:rPr>
            </w:pPr>
            <w:r>
              <w:rPr>
                <w:rFonts w:ascii="仿宋" w:eastAsia="仿宋" w:hAnsi="仿宋" w:cs="仿宋" w:hint="eastAsia"/>
                <w:sz w:val="20"/>
                <w:szCs w:val="20"/>
              </w:rPr>
              <w:t>11,413.94</w:t>
            </w:r>
          </w:p>
        </w:tc>
        <w:tc>
          <w:tcPr>
            <w:tcW w:w="1686" w:type="dxa"/>
            <w:tcBorders>
              <w:left w:val="single" w:sz="4" w:space="0" w:color="000000"/>
              <w:bottom w:val="single" w:sz="4" w:space="0" w:color="000000"/>
            </w:tcBorders>
            <w:vAlign w:val="center"/>
          </w:tcPr>
          <w:p w:rsidR="00E27AD1" w:rsidRDefault="00E27AD1">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E27AD1" w:rsidRDefault="00E27AD1">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E27AD1" w:rsidRDefault="00E27AD1">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E27AD1" w:rsidRDefault="00E27AD1">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E27AD1" w:rsidRDefault="00E27AD1">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科学技术支出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2060208</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7,673.77</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7,673.77</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4,771.90</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4,771.90</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3,453.31</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3,453.31</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2080102</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1,262.37</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1,262.37</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2080199</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56.22</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56.22</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1,145.19</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1,145.19</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558.75</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558.75</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390.96</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390.96</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195.48</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195.48</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1,302.72</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1,302.72</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2080712</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541.84</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541.84</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2080799</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760.88</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760.88</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2082501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20899</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2089999</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524.30</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524.30</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r w:rsidR="00E27AD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2,030.04</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20"/>
                <w:szCs w:val="20"/>
              </w:rPr>
            </w:pPr>
            <w:r>
              <w:rPr>
                <w:rFonts w:ascii="仿宋" w:eastAsia="仿宋" w:hAnsi="仿宋" w:cs="仿宋" w:hint="eastAsia"/>
                <w:sz w:val="20"/>
                <w:szCs w:val="20"/>
              </w:rPr>
              <w:t>2,030.04</w:t>
            </w:r>
          </w:p>
        </w:tc>
        <w:tc>
          <w:tcPr>
            <w:tcW w:w="168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sz w:val="20"/>
                <w:szCs w:val="20"/>
              </w:rPr>
            </w:pPr>
          </w:p>
        </w:tc>
      </w:tr>
    </w:tbl>
    <w:p w:rsidR="00E27AD1" w:rsidRDefault="002D7FCF">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E27AD1" w:rsidRDefault="00E27AD1">
      <w:pPr>
        <w:spacing w:before="66"/>
        <w:ind w:left="57" w:firstLineChars="100" w:firstLine="220"/>
        <w:jc w:val="both"/>
        <w:rPr>
          <w:rFonts w:ascii="仿宋" w:eastAsia="仿宋" w:hAnsi="仿宋" w:cs="仿宋"/>
        </w:rPr>
        <w:sectPr w:rsidR="00E27AD1">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E27AD1">
        <w:trPr>
          <w:trHeight w:val="532"/>
        </w:trPr>
        <w:tc>
          <w:tcPr>
            <w:tcW w:w="15689" w:type="dxa"/>
            <w:gridSpan w:val="8"/>
            <w:vAlign w:val="center"/>
          </w:tcPr>
          <w:p w:rsidR="00E27AD1" w:rsidRDefault="002D7FCF">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E27AD1">
        <w:trPr>
          <w:trHeight w:val="227"/>
        </w:trPr>
        <w:tc>
          <w:tcPr>
            <w:tcW w:w="5115" w:type="dxa"/>
            <w:gridSpan w:val="2"/>
            <w:vAlign w:val="center"/>
          </w:tcPr>
          <w:p w:rsidR="00E27AD1" w:rsidRDefault="00E27AD1">
            <w:pPr>
              <w:pStyle w:val="TableParagraph"/>
              <w:jc w:val="center"/>
              <w:rPr>
                <w:rFonts w:ascii="仿宋" w:eastAsia="仿宋" w:hAnsi="仿宋" w:cs="仿宋"/>
              </w:rPr>
            </w:pPr>
          </w:p>
        </w:tc>
        <w:tc>
          <w:tcPr>
            <w:tcW w:w="2164" w:type="dxa"/>
            <w:vAlign w:val="center"/>
          </w:tcPr>
          <w:p w:rsidR="00E27AD1" w:rsidRDefault="00E27AD1">
            <w:pPr>
              <w:pStyle w:val="TableParagraph"/>
              <w:jc w:val="center"/>
              <w:rPr>
                <w:rFonts w:ascii="仿宋" w:eastAsia="仿宋" w:hAnsi="仿宋" w:cs="仿宋"/>
                <w:sz w:val="20"/>
              </w:rPr>
            </w:pPr>
          </w:p>
        </w:tc>
        <w:tc>
          <w:tcPr>
            <w:tcW w:w="1897" w:type="dxa"/>
            <w:vAlign w:val="center"/>
          </w:tcPr>
          <w:p w:rsidR="00E27AD1" w:rsidRDefault="00E27AD1">
            <w:pPr>
              <w:pStyle w:val="TableParagraph"/>
              <w:jc w:val="center"/>
              <w:rPr>
                <w:rFonts w:ascii="仿宋" w:eastAsia="仿宋" w:hAnsi="仿宋" w:cs="仿宋"/>
                <w:sz w:val="20"/>
              </w:rPr>
            </w:pPr>
          </w:p>
        </w:tc>
        <w:tc>
          <w:tcPr>
            <w:tcW w:w="1739" w:type="dxa"/>
            <w:vAlign w:val="center"/>
          </w:tcPr>
          <w:p w:rsidR="00E27AD1" w:rsidRDefault="00E27AD1">
            <w:pPr>
              <w:pStyle w:val="TableParagraph"/>
              <w:jc w:val="center"/>
              <w:rPr>
                <w:rFonts w:ascii="仿宋" w:eastAsia="仿宋" w:hAnsi="仿宋" w:cs="仿宋"/>
                <w:sz w:val="20"/>
              </w:rPr>
            </w:pPr>
          </w:p>
        </w:tc>
        <w:tc>
          <w:tcPr>
            <w:tcW w:w="1715" w:type="dxa"/>
            <w:vAlign w:val="center"/>
          </w:tcPr>
          <w:p w:rsidR="00E27AD1" w:rsidRDefault="00E27AD1">
            <w:pPr>
              <w:pStyle w:val="TableParagraph"/>
              <w:jc w:val="center"/>
              <w:rPr>
                <w:rFonts w:ascii="仿宋" w:eastAsia="仿宋" w:hAnsi="仿宋" w:cs="仿宋"/>
                <w:sz w:val="20"/>
              </w:rPr>
            </w:pPr>
          </w:p>
        </w:tc>
        <w:tc>
          <w:tcPr>
            <w:tcW w:w="3059" w:type="dxa"/>
            <w:gridSpan w:val="2"/>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E27AD1">
        <w:trPr>
          <w:trHeight w:val="90"/>
        </w:trPr>
        <w:tc>
          <w:tcPr>
            <w:tcW w:w="12630" w:type="dxa"/>
            <w:gridSpan w:val="6"/>
            <w:vAlign w:val="center"/>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059" w:type="dxa"/>
            <w:gridSpan w:val="2"/>
            <w:vAlign w:val="center"/>
          </w:tcPr>
          <w:p w:rsidR="00E27AD1" w:rsidRDefault="002D7FCF">
            <w:pPr>
              <w:pStyle w:val="TableParagraph"/>
              <w:jc w:val="right"/>
              <w:rPr>
                <w:rFonts w:ascii="仿宋" w:eastAsia="仿宋" w:hAnsi="仿宋" w:cs="仿宋"/>
              </w:rPr>
            </w:pPr>
            <w:r>
              <w:rPr>
                <w:rFonts w:ascii="仿宋" w:eastAsia="仿宋" w:hAnsi="仿宋" w:cs="仿宋" w:hint="eastAsia"/>
              </w:rPr>
              <w:t>金额单位：万元</w:t>
            </w:r>
          </w:p>
        </w:tc>
      </w:tr>
      <w:tr w:rsidR="00E27AD1">
        <w:trPr>
          <w:trHeight w:val="90"/>
        </w:trPr>
        <w:tc>
          <w:tcPr>
            <w:tcW w:w="5115"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对附属单位补助支出</w:t>
            </w:r>
          </w:p>
        </w:tc>
      </w:tr>
      <w:tr w:rsidR="00E27AD1">
        <w:trPr>
          <w:trHeight w:val="176"/>
        </w:trPr>
        <w:tc>
          <w:tcPr>
            <w:tcW w:w="1188"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w:t>
            </w:r>
          </w:p>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E27AD1" w:rsidRDefault="00E27AD1">
            <w:pPr>
              <w:rPr>
                <w:rFonts w:ascii="仿宋" w:eastAsia="仿宋" w:hAnsi="仿宋" w:cs="仿宋"/>
              </w:rPr>
            </w:pPr>
          </w:p>
        </w:tc>
        <w:tc>
          <w:tcPr>
            <w:tcW w:w="1897" w:type="dxa"/>
            <w:vMerge/>
            <w:tcBorders>
              <w:left w:val="single" w:sz="4" w:space="0" w:color="000000"/>
              <w:bottom w:val="single" w:sz="4" w:space="0" w:color="000000"/>
            </w:tcBorders>
          </w:tcPr>
          <w:p w:rsidR="00E27AD1" w:rsidRDefault="00E27AD1">
            <w:pPr>
              <w:rPr>
                <w:rFonts w:ascii="仿宋" w:eastAsia="仿宋" w:hAnsi="仿宋" w:cs="仿宋"/>
              </w:rPr>
            </w:pPr>
          </w:p>
        </w:tc>
        <w:tc>
          <w:tcPr>
            <w:tcW w:w="1739" w:type="dxa"/>
            <w:vMerge/>
            <w:tcBorders>
              <w:left w:val="single" w:sz="4" w:space="0" w:color="000000"/>
              <w:bottom w:val="single" w:sz="4" w:space="0" w:color="000000"/>
            </w:tcBorders>
          </w:tcPr>
          <w:p w:rsidR="00E27AD1" w:rsidRDefault="00E27AD1">
            <w:pPr>
              <w:rPr>
                <w:rFonts w:ascii="仿宋" w:eastAsia="仿宋" w:hAnsi="仿宋" w:cs="仿宋"/>
              </w:rPr>
            </w:pPr>
          </w:p>
        </w:tc>
        <w:tc>
          <w:tcPr>
            <w:tcW w:w="1715" w:type="dxa"/>
            <w:vMerge/>
            <w:tcBorders>
              <w:left w:val="single" w:sz="4" w:space="0" w:color="000000"/>
              <w:bottom w:val="single" w:sz="4" w:space="0" w:color="000000"/>
            </w:tcBorders>
          </w:tcPr>
          <w:p w:rsidR="00E27AD1" w:rsidRDefault="00E27AD1">
            <w:pPr>
              <w:rPr>
                <w:rFonts w:ascii="仿宋" w:eastAsia="仿宋" w:hAnsi="仿宋" w:cs="仿宋"/>
              </w:rPr>
            </w:pPr>
          </w:p>
        </w:tc>
        <w:tc>
          <w:tcPr>
            <w:tcW w:w="1633" w:type="dxa"/>
            <w:vMerge/>
            <w:tcBorders>
              <w:left w:val="single" w:sz="4" w:space="0" w:color="000000"/>
              <w:bottom w:val="single" w:sz="4" w:space="0" w:color="000000"/>
            </w:tcBorders>
          </w:tcPr>
          <w:p w:rsidR="00E27AD1" w:rsidRDefault="00E27AD1">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rPr>
            </w:pPr>
          </w:p>
        </w:tc>
      </w:tr>
      <w:tr w:rsidR="00E27AD1">
        <w:trPr>
          <w:trHeight w:hRule="exact" w:val="382"/>
        </w:trPr>
        <w:tc>
          <w:tcPr>
            <w:tcW w:w="5115"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1897" w:type="dxa"/>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7,256.84</w:t>
            </w:r>
          </w:p>
        </w:tc>
        <w:tc>
          <w:tcPr>
            <w:tcW w:w="1739" w:type="dxa"/>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4,157.10</w:t>
            </w:r>
          </w:p>
        </w:tc>
        <w:tc>
          <w:tcPr>
            <w:tcW w:w="1715" w:type="dxa"/>
            <w:tcBorders>
              <w:left w:val="single" w:sz="4" w:space="0" w:color="000000"/>
              <w:bottom w:val="single" w:sz="4" w:space="0" w:color="000000"/>
            </w:tcBorders>
            <w:vAlign w:val="center"/>
          </w:tcPr>
          <w:p w:rsidR="00E27AD1" w:rsidRDefault="00E27AD1">
            <w:pPr>
              <w:jc w:val="right"/>
              <w:rPr>
                <w:rFonts w:ascii="仿宋" w:eastAsia="仿宋" w:hAnsi="仿宋" w:cs="仿宋"/>
              </w:rPr>
            </w:pPr>
          </w:p>
        </w:tc>
        <w:tc>
          <w:tcPr>
            <w:tcW w:w="1633" w:type="dxa"/>
            <w:tcBorders>
              <w:left w:val="single" w:sz="4" w:space="0" w:color="000000"/>
              <w:bottom w:val="single" w:sz="4" w:space="0" w:color="000000"/>
            </w:tcBorders>
            <w:vAlign w:val="center"/>
          </w:tcPr>
          <w:p w:rsidR="00E27AD1" w:rsidRDefault="00E27AD1">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206</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科学技术支出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20602</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2060208</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7,673.77</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4,702.50</w:t>
            </w: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2,971.27</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4,771.90</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1,318.59</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2080101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2080102</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1,262.37</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1,262.37</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2080199</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56.22</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56.22</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1,145.19</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1,145.19</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558.75</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558.75</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390.96</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390.96</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195.48</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195.48</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20807</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1,302.72</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1,302.72</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2080712</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541.84</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541.84</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lastRenderedPageBreak/>
              <w:t>2080799</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760.88</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760.88</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20825</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2082501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897"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20899</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162.50</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104.00</w:t>
            </w: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58.50</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2089999</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162.50</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104.00</w:t>
            </w:r>
          </w:p>
        </w:tc>
        <w:tc>
          <w:tcPr>
            <w:tcW w:w="1739"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58.50</w:t>
            </w: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524.30</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524.30</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r w:rsidR="00E27AD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2,030.04</w:t>
            </w:r>
          </w:p>
        </w:tc>
        <w:tc>
          <w:tcPr>
            <w:tcW w:w="1897" w:type="dxa"/>
            <w:tcBorders>
              <w:top w:val="single" w:sz="4" w:space="0" w:color="000000"/>
              <w:left w:val="single" w:sz="4" w:space="0" w:color="000000"/>
              <w:bottom w:val="single" w:sz="4" w:space="0" w:color="000000"/>
              <w:right w:val="single" w:sz="4" w:space="0" w:color="000000"/>
            </w:tcBorders>
          </w:tcPr>
          <w:p w:rsidR="00E27AD1" w:rsidRDefault="002D7FCF">
            <w:pPr>
              <w:pStyle w:val="TableParagraph"/>
              <w:spacing w:before="30"/>
              <w:ind w:left="107"/>
              <w:jc w:val="right"/>
              <w:rPr>
                <w:rFonts w:ascii="仿宋" w:eastAsia="仿宋" w:hAnsi="仿宋" w:cs="仿宋"/>
              </w:rPr>
            </w:pPr>
            <w:r>
              <w:rPr>
                <w:rFonts w:ascii="仿宋" w:eastAsia="仿宋" w:hAnsi="仿宋" w:cs="仿宋" w:hint="eastAsia"/>
              </w:rPr>
              <w:t>2,030.04</w:t>
            </w:r>
          </w:p>
        </w:tc>
        <w:tc>
          <w:tcPr>
            <w:tcW w:w="1739"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27AD1" w:rsidRDefault="00E27AD1">
            <w:pPr>
              <w:pStyle w:val="TableParagraph"/>
              <w:spacing w:before="30"/>
              <w:ind w:left="107"/>
              <w:jc w:val="right"/>
              <w:rPr>
                <w:rFonts w:ascii="仿宋" w:eastAsia="仿宋" w:hAnsi="仿宋" w:cs="仿宋"/>
              </w:rPr>
            </w:pPr>
          </w:p>
        </w:tc>
      </w:tr>
    </w:tbl>
    <w:p w:rsidR="00E27AD1" w:rsidRDefault="002D7FCF">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E27AD1" w:rsidRDefault="00E27AD1">
      <w:pPr>
        <w:spacing w:before="59"/>
        <w:ind w:left="57"/>
        <w:rPr>
          <w:rFonts w:ascii="仿宋" w:eastAsia="仿宋" w:hAnsi="仿宋" w:cs="仿宋"/>
        </w:rPr>
        <w:sectPr w:rsidR="00E27AD1">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E27AD1">
        <w:trPr>
          <w:trHeight w:val="319"/>
        </w:trPr>
        <w:tc>
          <w:tcPr>
            <w:tcW w:w="15372" w:type="dxa"/>
            <w:gridSpan w:val="10"/>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E27AD1">
        <w:trPr>
          <w:trHeight w:val="319"/>
        </w:trPr>
        <w:tc>
          <w:tcPr>
            <w:tcW w:w="5562" w:type="dxa"/>
            <w:gridSpan w:val="2"/>
          </w:tcPr>
          <w:p w:rsidR="00E27AD1" w:rsidRDefault="00E27AD1">
            <w:pPr>
              <w:pStyle w:val="TableParagraph"/>
              <w:rPr>
                <w:rFonts w:ascii="仿宋" w:eastAsia="仿宋" w:hAnsi="仿宋" w:cs="仿宋"/>
                <w:sz w:val="20"/>
              </w:rPr>
            </w:pPr>
          </w:p>
        </w:tc>
        <w:tc>
          <w:tcPr>
            <w:tcW w:w="847" w:type="dxa"/>
          </w:tcPr>
          <w:p w:rsidR="00E27AD1" w:rsidRDefault="00E27AD1">
            <w:pPr>
              <w:pStyle w:val="TableParagraph"/>
              <w:rPr>
                <w:rFonts w:ascii="仿宋" w:eastAsia="仿宋" w:hAnsi="仿宋" w:cs="仿宋"/>
                <w:sz w:val="20"/>
              </w:rPr>
            </w:pPr>
          </w:p>
        </w:tc>
        <w:tc>
          <w:tcPr>
            <w:tcW w:w="1913" w:type="dxa"/>
          </w:tcPr>
          <w:p w:rsidR="00E27AD1" w:rsidRDefault="00E27AD1">
            <w:pPr>
              <w:pStyle w:val="TableParagraph"/>
              <w:rPr>
                <w:rFonts w:ascii="仿宋" w:eastAsia="仿宋" w:hAnsi="仿宋" w:cs="仿宋"/>
                <w:sz w:val="20"/>
              </w:rPr>
            </w:pPr>
          </w:p>
        </w:tc>
        <w:tc>
          <w:tcPr>
            <w:tcW w:w="2635" w:type="dxa"/>
            <w:gridSpan w:val="2"/>
          </w:tcPr>
          <w:p w:rsidR="00E27AD1" w:rsidRDefault="00E27AD1">
            <w:pPr>
              <w:pStyle w:val="TableParagraph"/>
              <w:rPr>
                <w:rFonts w:ascii="仿宋" w:eastAsia="仿宋" w:hAnsi="仿宋" w:cs="仿宋"/>
                <w:sz w:val="20"/>
              </w:rPr>
            </w:pPr>
          </w:p>
        </w:tc>
        <w:tc>
          <w:tcPr>
            <w:tcW w:w="1194" w:type="dxa"/>
          </w:tcPr>
          <w:p w:rsidR="00E27AD1" w:rsidRDefault="00E27AD1">
            <w:pPr>
              <w:pStyle w:val="TableParagraph"/>
              <w:rPr>
                <w:rFonts w:ascii="仿宋" w:eastAsia="仿宋" w:hAnsi="仿宋" w:cs="仿宋"/>
                <w:sz w:val="20"/>
              </w:rPr>
            </w:pPr>
          </w:p>
        </w:tc>
        <w:tc>
          <w:tcPr>
            <w:tcW w:w="3221" w:type="dxa"/>
            <w:gridSpan w:val="3"/>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E27AD1">
        <w:trPr>
          <w:trHeight w:val="319"/>
        </w:trPr>
        <w:tc>
          <w:tcPr>
            <w:tcW w:w="12151" w:type="dxa"/>
            <w:gridSpan w:val="7"/>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221" w:type="dxa"/>
            <w:gridSpan w:val="3"/>
            <w:vAlign w:val="center"/>
          </w:tcPr>
          <w:p w:rsidR="00E27AD1" w:rsidRDefault="002D7FCF">
            <w:pPr>
              <w:pStyle w:val="TableParagraph"/>
              <w:jc w:val="right"/>
              <w:rPr>
                <w:rFonts w:ascii="仿宋" w:eastAsia="仿宋" w:hAnsi="仿宋" w:cs="仿宋"/>
              </w:rPr>
            </w:pPr>
            <w:r>
              <w:rPr>
                <w:rFonts w:ascii="仿宋" w:eastAsia="仿宋" w:hAnsi="仿宋" w:cs="仿宋" w:hint="eastAsia"/>
              </w:rPr>
              <w:t>金额单位：万元</w:t>
            </w:r>
          </w:p>
        </w:tc>
      </w:tr>
      <w:tr w:rsidR="00E27AD1">
        <w:trPr>
          <w:trHeight w:val="162"/>
        </w:trPr>
        <w:tc>
          <w:tcPr>
            <w:tcW w:w="5562" w:type="dxa"/>
            <w:gridSpan w:val="2"/>
            <w:tcBorders>
              <w:top w:val="single" w:sz="4" w:space="0" w:color="000000"/>
              <w:left w:val="single" w:sz="4" w:space="0" w:color="000000"/>
              <w:bottom w:val="single" w:sz="4" w:space="0" w:color="000000"/>
            </w:tcBorders>
          </w:tcPr>
          <w:p w:rsidR="00E27AD1" w:rsidRDefault="002D7FCF">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E27AD1" w:rsidRDefault="002D7FCF">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E27AD1">
        <w:trPr>
          <w:trHeight w:val="199"/>
        </w:trPr>
        <w:tc>
          <w:tcPr>
            <w:tcW w:w="3725" w:type="dxa"/>
            <w:vMerge w:val="restart"/>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E27AD1" w:rsidRDefault="002D7FCF">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E27AD1" w:rsidRDefault="002D7FCF">
            <w:pPr>
              <w:jc w:val="center"/>
              <w:rPr>
                <w:rFonts w:ascii="仿宋" w:eastAsia="仿宋" w:hAnsi="仿宋" w:cs="仿宋"/>
              </w:rPr>
            </w:pPr>
            <w:r>
              <w:rPr>
                <w:rFonts w:ascii="仿宋" w:eastAsia="仿宋" w:hAnsi="仿宋" w:cs="仿宋" w:hint="eastAsia"/>
              </w:rPr>
              <w:t>决算数</w:t>
            </w:r>
          </w:p>
        </w:tc>
      </w:tr>
      <w:tr w:rsidR="00E27AD1">
        <w:trPr>
          <w:trHeight w:val="578"/>
        </w:trPr>
        <w:tc>
          <w:tcPr>
            <w:tcW w:w="3725" w:type="dxa"/>
            <w:vMerge/>
            <w:tcBorders>
              <w:left w:val="single" w:sz="4" w:space="0" w:color="000000"/>
              <w:bottom w:val="single" w:sz="4" w:space="0" w:color="000000"/>
            </w:tcBorders>
          </w:tcPr>
          <w:p w:rsidR="00E27AD1" w:rsidRDefault="00E27AD1">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E27AD1" w:rsidRDefault="00E27AD1">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E27AD1" w:rsidRDefault="00E27AD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国有资本经营预算财政拨款</w:t>
            </w: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11,413.94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7,673.77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7,673.77</w:t>
            </w: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hRule="exact" w:val="359"/>
        </w:trPr>
        <w:tc>
          <w:tcPr>
            <w:tcW w:w="3725" w:type="dxa"/>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3667" w:type="dxa"/>
            <w:gridSpan w:val="3"/>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1415" w:type="dxa"/>
            <w:gridSpan w:val="2"/>
            <w:tcBorders>
              <w:top w:val="single" w:sz="4" w:space="0" w:color="000000"/>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1500" w:type="dxa"/>
            <w:tcBorders>
              <w:top w:val="single" w:sz="4" w:space="0" w:color="000000"/>
              <w:left w:val="single" w:sz="4" w:space="0" w:color="000000"/>
              <w:bottom w:val="single" w:sz="4" w:space="0" w:color="000000"/>
            </w:tcBorders>
            <w:vAlign w:val="center"/>
          </w:tcPr>
          <w:p w:rsidR="00E27AD1" w:rsidRDefault="00E27AD1">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trHeight w:val="242"/>
        </w:trPr>
        <w:tc>
          <w:tcPr>
            <w:tcW w:w="3725"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42"/>
        </w:trPr>
        <w:tc>
          <w:tcPr>
            <w:tcW w:w="3725"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27AD1" w:rsidRDefault="00E27AD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42"/>
        </w:trPr>
        <w:tc>
          <w:tcPr>
            <w:tcW w:w="3725"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27AD1" w:rsidRDefault="00E27AD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trHeight w:val="242"/>
        </w:trPr>
        <w:tc>
          <w:tcPr>
            <w:tcW w:w="3725"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27AD1" w:rsidRDefault="00E27AD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hRule="exact" w:val="322"/>
        </w:trPr>
        <w:tc>
          <w:tcPr>
            <w:tcW w:w="3725"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3667" w:type="dxa"/>
            <w:gridSpan w:val="3"/>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1415" w:type="dxa"/>
            <w:gridSpan w:val="2"/>
            <w:tcBorders>
              <w:left w:val="single" w:sz="4" w:space="0" w:color="000000"/>
              <w:bottom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11,413.94</w:t>
            </w:r>
          </w:p>
        </w:tc>
        <w:tc>
          <w:tcPr>
            <w:tcW w:w="1500" w:type="dxa"/>
            <w:tcBorders>
              <w:left w:val="single" w:sz="4" w:space="0" w:color="000000"/>
              <w:bottom w:val="single" w:sz="4" w:space="0" w:color="000000"/>
            </w:tcBorders>
            <w:vAlign w:val="center"/>
          </w:tcPr>
          <w:p w:rsidR="00E27AD1" w:rsidRDefault="00E27AD1">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bl>
    <w:p w:rsidR="00E27AD1" w:rsidRDefault="002D7FCF">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E27AD1" w:rsidRDefault="00E27AD1">
      <w:pPr>
        <w:jc w:val="both"/>
        <w:rPr>
          <w:rFonts w:ascii="仿宋" w:eastAsia="仿宋" w:hAnsi="仿宋" w:cs="仿宋"/>
        </w:rPr>
        <w:sectPr w:rsidR="00E27AD1">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E27AD1">
        <w:trPr>
          <w:trHeight w:val="321"/>
        </w:trPr>
        <w:tc>
          <w:tcPr>
            <w:tcW w:w="15417" w:type="dxa"/>
            <w:gridSpan w:val="5"/>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E27AD1">
        <w:trPr>
          <w:trHeight w:val="321"/>
        </w:trPr>
        <w:tc>
          <w:tcPr>
            <w:tcW w:w="6300" w:type="dxa"/>
            <w:gridSpan w:val="2"/>
          </w:tcPr>
          <w:p w:rsidR="00E27AD1" w:rsidRDefault="00E27AD1">
            <w:pPr>
              <w:pStyle w:val="TableParagraph"/>
              <w:rPr>
                <w:rFonts w:ascii="仿宋" w:eastAsia="仿宋" w:hAnsi="仿宋" w:cs="仿宋"/>
                <w:sz w:val="20"/>
              </w:rPr>
            </w:pPr>
          </w:p>
        </w:tc>
        <w:tc>
          <w:tcPr>
            <w:tcW w:w="3184" w:type="dxa"/>
          </w:tcPr>
          <w:p w:rsidR="00E27AD1" w:rsidRDefault="00E27AD1">
            <w:pPr>
              <w:pStyle w:val="TableParagraph"/>
              <w:rPr>
                <w:rFonts w:ascii="仿宋" w:eastAsia="仿宋" w:hAnsi="仿宋" w:cs="仿宋"/>
                <w:sz w:val="27"/>
              </w:rPr>
            </w:pPr>
          </w:p>
        </w:tc>
        <w:tc>
          <w:tcPr>
            <w:tcW w:w="5933" w:type="dxa"/>
            <w:gridSpan w:val="2"/>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E27AD1">
        <w:trPr>
          <w:trHeight w:val="288"/>
        </w:trPr>
        <w:tc>
          <w:tcPr>
            <w:tcW w:w="6300" w:type="dxa"/>
            <w:gridSpan w:val="2"/>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184" w:type="dxa"/>
          </w:tcPr>
          <w:p w:rsidR="00E27AD1" w:rsidRDefault="00E27AD1">
            <w:pPr>
              <w:pStyle w:val="TableParagraph"/>
              <w:rPr>
                <w:rFonts w:ascii="仿宋" w:eastAsia="仿宋" w:hAnsi="仿宋" w:cs="仿宋"/>
                <w:sz w:val="27"/>
              </w:rPr>
            </w:pPr>
          </w:p>
        </w:tc>
        <w:tc>
          <w:tcPr>
            <w:tcW w:w="2778" w:type="dxa"/>
            <w:vAlign w:val="center"/>
          </w:tcPr>
          <w:p w:rsidR="00E27AD1" w:rsidRDefault="00E27AD1">
            <w:pPr>
              <w:pStyle w:val="TableParagraph"/>
              <w:jc w:val="right"/>
              <w:rPr>
                <w:rFonts w:ascii="仿宋" w:eastAsia="仿宋" w:hAnsi="仿宋" w:cs="仿宋"/>
                <w:sz w:val="27"/>
              </w:rPr>
            </w:pPr>
          </w:p>
        </w:tc>
        <w:tc>
          <w:tcPr>
            <w:tcW w:w="3155"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金额单位：万元</w:t>
            </w:r>
          </w:p>
        </w:tc>
      </w:tr>
      <w:tr w:rsidR="00E27AD1">
        <w:trPr>
          <w:trHeight w:val="319"/>
        </w:trPr>
        <w:tc>
          <w:tcPr>
            <w:tcW w:w="6300" w:type="dxa"/>
            <w:gridSpan w:val="2"/>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项目支出</w:t>
            </w:r>
          </w:p>
        </w:tc>
      </w:tr>
      <w:tr w:rsidR="00E27AD1">
        <w:trPr>
          <w:trHeight w:val="341"/>
        </w:trPr>
        <w:tc>
          <w:tcPr>
            <w:tcW w:w="1278"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w:t>
            </w:r>
          </w:p>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E27AD1" w:rsidRDefault="00E27AD1">
            <w:pPr>
              <w:rPr>
                <w:rFonts w:ascii="仿宋" w:eastAsia="仿宋" w:hAnsi="仿宋" w:cs="仿宋"/>
              </w:rPr>
            </w:pPr>
          </w:p>
        </w:tc>
        <w:tc>
          <w:tcPr>
            <w:tcW w:w="2778" w:type="dxa"/>
            <w:vMerge/>
            <w:tcBorders>
              <w:left w:val="single" w:sz="6" w:space="0" w:color="000000"/>
              <w:bottom w:val="single" w:sz="6" w:space="0" w:color="000000"/>
            </w:tcBorders>
          </w:tcPr>
          <w:p w:rsidR="00E27AD1" w:rsidRDefault="00E27AD1">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E27AD1" w:rsidRDefault="00E27AD1">
            <w:pPr>
              <w:rPr>
                <w:rFonts w:ascii="仿宋" w:eastAsia="仿宋" w:hAnsi="仿宋" w:cs="仿宋"/>
              </w:rPr>
            </w:pPr>
          </w:p>
        </w:tc>
      </w:tr>
      <w:tr w:rsidR="00E27AD1">
        <w:trPr>
          <w:trHeight w:val="275"/>
        </w:trPr>
        <w:tc>
          <w:tcPr>
            <w:tcW w:w="6300" w:type="dxa"/>
            <w:gridSpan w:val="2"/>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3</w:t>
            </w:r>
          </w:p>
        </w:tc>
      </w:tr>
      <w:tr w:rsidR="00E27AD1">
        <w:trPr>
          <w:trHeight w:hRule="exact" w:val="374"/>
        </w:trPr>
        <w:tc>
          <w:tcPr>
            <w:tcW w:w="6300" w:type="dxa"/>
            <w:gridSpan w:val="2"/>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E27AD1" w:rsidRDefault="002D7FCF">
            <w:pPr>
              <w:pStyle w:val="TableParagraph"/>
              <w:jc w:val="right"/>
              <w:rPr>
                <w:rFonts w:ascii="仿宋" w:eastAsia="仿宋" w:hAnsi="仿宋" w:cs="仿宋"/>
              </w:rPr>
            </w:pPr>
            <w:r>
              <w:rPr>
                <w:rFonts w:ascii="仿宋" w:eastAsia="仿宋" w:hAnsi="仿宋" w:cs="仿宋" w:hint="eastAsia"/>
              </w:rPr>
              <w:t>11,413.94</w:t>
            </w:r>
          </w:p>
        </w:tc>
        <w:tc>
          <w:tcPr>
            <w:tcW w:w="2778" w:type="dxa"/>
            <w:tcBorders>
              <w:left w:val="single" w:sz="6" w:space="0" w:color="000000"/>
              <w:bottom w:val="single" w:sz="6" w:space="0" w:color="000000"/>
            </w:tcBorders>
          </w:tcPr>
          <w:p w:rsidR="00E27AD1" w:rsidRDefault="002D7FCF">
            <w:pPr>
              <w:pStyle w:val="TableParagraph"/>
              <w:jc w:val="right"/>
              <w:rPr>
                <w:rFonts w:ascii="仿宋" w:eastAsia="仿宋" w:hAnsi="仿宋" w:cs="仿宋"/>
              </w:rPr>
            </w:pPr>
            <w:r>
              <w:rPr>
                <w:rFonts w:ascii="仿宋" w:eastAsia="仿宋" w:hAnsi="仿宋" w:cs="仿宋" w:hint="eastAsia"/>
              </w:rPr>
              <w:t>7,256.84</w:t>
            </w:r>
          </w:p>
        </w:tc>
        <w:tc>
          <w:tcPr>
            <w:tcW w:w="3155" w:type="dxa"/>
            <w:tcBorders>
              <w:left w:val="single" w:sz="6" w:space="0" w:color="000000"/>
              <w:bottom w:val="single" w:sz="6" w:space="0" w:color="000000"/>
              <w:right w:val="single" w:sz="6" w:space="0" w:color="000000"/>
            </w:tcBorders>
          </w:tcPr>
          <w:p w:rsidR="00E27AD1" w:rsidRDefault="002D7FCF">
            <w:pPr>
              <w:pStyle w:val="TableParagraph"/>
              <w:jc w:val="right"/>
              <w:rPr>
                <w:rFonts w:ascii="仿宋" w:eastAsia="仿宋" w:hAnsi="仿宋" w:cs="仿宋"/>
              </w:rPr>
            </w:pPr>
            <w:r>
              <w:rPr>
                <w:rFonts w:ascii="仿宋" w:eastAsia="仿宋" w:hAnsi="仿宋" w:cs="仿宋" w:hint="eastAsia"/>
              </w:rPr>
              <w:t>4,157.10</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科学技术支出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2060208</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7,673.77</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4,702.50</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2,971.27</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4,771.90</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1,318.59</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2080102</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1,262.37</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1,262.37</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2080199</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56.22</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56.22</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1,145.19</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1,145.19</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558.75</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558.75</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390.96</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390.96</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195.48</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195.48</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1,302.72</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1,302.72</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2080712</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541.84</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541.84</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2080799</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760.88</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760.88</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2082501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20899</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162.50</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104.00</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58.50</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2089999</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162.50</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104.00</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58.50</w:t>
            </w: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2,030.04</w:t>
            </w:r>
          </w:p>
        </w:tc>
        <w:tc>
          <w:tcPr>
            <w:tcW w:w="2778" w:type="dxa"/>
            <w:tcBorders>
              <w:top w:val="single" w:sz="6" w:space="0" w:color="000000"/>
              <w:left w:val="single" w:sz="4" w:space="0" w:color="000000"/>
              <w:bottom w:val="single" w:sz="6"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2,030.04</w:t>
            </w:r>
          </w:p>
        </w:tc>
        <w:tc>
          <w:tcPr>
            <w:tcW w:w="3155" w:type="dxa"/>
            <w:tcBorders>
              <w:top w:val="single" w:sz="6" w:space="0" w:color="000000"/>
              <w:left w:val="single" w:sz="4"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bl>
    <w:p w:rsidR="00E27AD1" w:rsidRDefault="002D7FCF">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E27AD1" w:rsidRDefault="00E27AD1">
      <w:pPr>
        <w:tabs>
          <w:tab w:val="left" w:pos="55"/>
        </w:tabs>
        <w:jc w:val="both"/>
        <w:rPr>
          <w:rFonts w:ascii="仿宋" w:eastAsia="仿宋" w:hAnsi="仿宋" w:cs="仿宋"/>
        </w:rPr>
        <w:sectPr w:rsidR="00E27AD1">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E27AD1">
        <w:trPr>
          <w:trHeight w:val="319"/>
        </w:trPr>
        <w:tc>
          <w:tcPr>
            <w:tcW w:w="10515" w:type="dxa"/>
            <w:gridSpan w:val="5"/>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E27AD1">
        <w:trPr>
          <w:trHeight w:val="319"/>
        </w:trPr>
        <w:tc>
          <w:tcPr>
            <w:tcW w:w="4532" w:type="dxa"/>
            <w:gridSpan w:val="2"/>
          </w:tcPr>
          <w:p w:rsidR="00E27AD1" w:rsidRDefault="00E27AD1">
            <w:pPr>
              <w:pStyle w:val="TableParagraph"/>
              <w:rPr>
                <w:rFonts w:ascii="仿宋" w:eastAsia="仿宋" w:hAnsi="仿宋" w:cs="仿宋"/>
                <w:sz w:val="20"/>
              </w:rPr>
            </w:pPr>
          </w:p>
        </w:tc>
        <w:tc>
          <w:tcPr>
            <w:tcW w:w="2047" w:type="dxa"/>
          </w:tcPr>
          <w:p w:rsidR="00E27AD1" w:rsidRDefault="00E27AD1">
            <w:pPr>
              <w:pStyle w:val="TableParagraph"/>
              <w:rPr>
                <w:rFonts w:ascii="仿宋" w:eastAsia="仿宋" w:hAnsi="仿宋" w:cs="仿宋"/>
                <w:sz w:val="20"/>
              </w:rPr>
            </w:pPr>
          </w:p>
        </w:tc>
        <w:tc>
          <w:tcPr>
            <w:tcW w:w="2040" w:type="dxa"/>
          </w:tcPr>
          <w:p w:rsidR="00E27AD1" w:rsidRDefault="00E27AD1">
            <w:pPr>
              <w:pStyle w:val="TableParagraph"/>
              <w:rPr>
                <w:rFonts w:ascii="仿宋" w:eastAsia="仿宋" w:hAnsi="仿宋" w:cs="仿宋"/>
                <w:sz w:val="20"/>
              </w:rPr>
            </w:pPr>
          </w:p>
        </w:tc>
        <w:tc>
          <w:tcPr>
            <w:tcW w:w="1896" w:type="dxa"/>
            <w:vAlign w:val="center"/>
          </w:tcPr>
          <w:p w:rsidR="00E27AD1" w:rsidRDefault="002D7FCF">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E27AD1">
        <w:trPr>
          <w:trHeight w:val="319"/>
        </w:trPr>
        <w:tc>
          <w:tcPr>
            <w:tcW w:w="8619" w:type="dxa"/>
            <w:gridSpan w:val="4"/>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96" w:type="dxa"/>
            <w:vAlign w:val="center"/>
          </w:tcPr>
          <w:p w:rsidR="00E27AD1" w:rsidRDefault="002D7FCF">
            <w:pPr>
              <w:pStyle w:val="TableParagraph"/>
              <w:jc w:val="right"/>
              <w:rPr>
                <w:rFonts w:ascii="仿宋" w:eastAsia="仿宋" w:hAnsi="仿宋" w:cs="仿宋"/>
                <w:sz w:val="20"/>
              </w:rPr>
            </w:pPr>
            <w:r>
              <w:rPr>
                <w:rFonts w:ascii="仿宋" w:eastAsia="仿宋" w:hAnsi="仿宋" w:cs="仿宋" w:hint="eastAsia"/>
              </w:rPr>
              <w:t>金额单位：万元</w:t>
            </w:r>
          </w:p>
        </w:tc>
      </w:tr>
      <w:tr w:rsidR="00E27AD1">
        <w:trPr>
          <w:trHeight w:val="243"/>
        </w:trPr>
        <w:tc>
          <w:tcPr>
            <w:tcW w:w="4532"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财政拨款基本支出</w:t>
            </w:r>
          </w:p>
        </w:tc>
      </w:tr>
      <w:tr w:rsidR="00E27AD1">
        <w:trPr>
          <w:trHeight w:val="483"/>
        </w:trPr>
        <w:tc>
          <w:tcPr>
            <w:tcW w:w="99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公用经费</w:t>
            </w:r>
          </w:p>
        </w:tc>
      </w:tr>
      <w:tr w:rsidR="00E27AD1">
        <w:trPr>
          <w:trHeight w:hRule="exact" w:val="409"/>
        </w:trPr>
        <w:tc>
          <w:tcPr>
            <w:tcW w:w="4532"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7,256.84</w:t>
            </w:r>
          </w:p>
        </w:tc>
        <w:tc>
          <w:tcPr>
            <w:tcW w:w="2040"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6,852.14</w:t>
            </w:r>
          </w:p>
        </w:tc>
        <w:tc>
          <w:tcPr>
            <w:tcW w:w="1896"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5,281.54</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5,281.54</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1,083.30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1,083.30</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1,590.07</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1,590.07</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954.92</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954.92</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401.08</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401.08</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195.26</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195.26</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154.58</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154.58</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15.24</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15.24</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76.43</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76.43</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286.37</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286.37</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92.80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92.80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17.70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17.70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2.02</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2.02</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40.50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40.50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10.05</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10.05</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0.06</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0.06</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0.24</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0.24</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3.00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3.00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32.64</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32.64</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2.30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2.30</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139.55</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139.55</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61.04</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61.04</w:t>
            </w: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1,570.59</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1,570.59</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86.00</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86.00</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1,371.26</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1,371.26</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4.68</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4.68</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108.65</w:t>
            </w: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108.65</w:t>
            </w: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bl>
    <w:p w:rsidR="00E27AD1" w:rsidRDefault="002D7FCF">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E27AD1" w:rsidRDefault="00E27AD1">
      <w:pPr>
        <w:spacing w:line="255" w:lineRule="exact"/>
        <w:jc w:val="both"/>
        <w:rPr>
          <w:rFonts w:ascii="仿宋" w:eastAsia="仿宋" w:hAnsi="仿宋" w:cs="仿宋"/>
        </w:rPr>
        <w:sectPr w:rsidR="00E27AD1">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E27AD1">
        <w:trPr>
          <w:trHeight w:val="560"/>
        </w:trPr>
        <w:tc>
          <w:tcPr>
            <w:tcW w:w="10446" w:type="dxa"/>
            <w:gridSpan w:val="5"/>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E27AD1">
        <w:trPr>
          <w:trHeight w:val="147"/>
        </w:trPr>
        <w:tc>
          <w:tcPr>
            <w:tcW w:w="5466" w:type="dxa"/>
            <w:gridSpan w:val="2"/>
          </w:tcPr>
          <w:p w:rsidR="00E27AD1" w:rsidRDefault="00E27AD1">
            <w:pPr>
              <w:pStyle w:val="TableParagraph"/>
              <w:rPr>
                <w:rFonts w:ascii="仿宋" w:eastAsia="仿宋" w:hAnsi="仿宋" w:cs="仿宋"/>
                <w:sz w:val="20"/>
              </w:rPr>
            </w:pPr>
          </w:p>
        </w:tc>
        <w:tc>
          <w:tcPr>
            <w:tcW w:w="1969" w:type="dxa"/>
          </w:tcPr>
          <w:p w:rsidR="00E27AD1" w:rsidRDefault="00E27AD1">
            <w:pPr>
              <w:pStyle w:val="TableParagraph"/>
              <w:rPr>
                <w:rFonts w:ascii="仿宋" w:eastAsia="仿宋" w:hAnsi="仿宋" w:cs="仿宋"/>
                <w:sz w:val="20"/>
              </w:rPr>
            </w:pPr>
          </w:p>
        </w:tc>
        <w:tc>
          <w:tcPr>
            <w:tcW w:w="1499" w:type="dxa"/>
          </w:tcPr>
          <w:p w:rsidR="00E27AD1" w:rsidRDefault="00E27AD1">
            <w:pPr>
              <w:pStyle w:val="TableParagraph"/>
              <w:rPr>
                <w:rFonts w:ascii="仿宋" w:eastAsia="仿宋" w:hAnsi="仿宋" w:cs="仿宋"/>
                <w:sz w:val="20"/>
              </w:rPr>
            </w:pPr>
          </w:p>
        </w:tc>
        <w:tc>
          <w:tcPr>
            <w:tcW w:w="1512" w:type="dxa"/>
            <w:vAlign w:val="center"/>
          </w:tcPr>
          <w:p w:rsidR="00E27AD1" w:rsidRDefault="002D7FCF">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E27AD1">
        <w:trPr>
          <w:trHeight w:val="303"/>
        </w:trPr>
        <w:tc>
          <w:tcPr>
            <w:tcW w:w="7435" w:type="dxa"/>
            <w:gridSpan w:val="3"/>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011" w:type="dxa"/>
            <w:gridSpan w:val="2"/>
          </w:tcPr>
          <w:p w:rsidR="00E27AD1" w:rsidRDefault="002D7FCF">
            <w:pPr>
              <w:pStyle w:val="TableParagraph"/>
              <w:jc w:val="right"/>
              <w:rPr>
                <w:rFonts w:ascii="仿宋" w:eastAsia="仿宋" w:hAnsi="仿宋" w:cs="仿宋"/>
              </w:rPr>
            </w:pPr>
            <w:r>
              <w:rPr>
                <w:rFonts w:ascii="仿宋" w:eastAsia="仿宋" w:hAnsi="仿宋" w:cs="仿宋" w:hint="eastAsia"/>
              </w:rPr>
              <w:t>金额单位：万元</w:t>
            </w:r>
          </w:p>
        </w:tc>
      </w:tr>
      <w:tr w:rsidR="00E27AD1">
        <w:trPr>
          <w:trHeight w:val="158"/>
        </w:trPr>
        <w:tc>
          <w:tcPr>
            <w:tcW w:w="5466" w:type="dxa"/>
            <w:gridSpan w:val="2"/>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项目支出</w:t>
            </w:r>
          </w:p>
        </w:tc>
      </w:tr>
      <w:tr w:rsidR="00E27AD1">
        <w:trPr>
          <w:trHeight w:val="561"/>
        </w:trPr>
        <w:tc>
          <w:tcPr>
            <w:tcW w:w="1134"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E27AD1" w:rsidRDefault="00E27AD1">
            <w:pPr>
              <w:rPr>
                <w:rFonts w:ascii="仿宋" w:eastAsia="仿宋" w:hAnsi="仿宋" w:cs="仿宋"/>
                <w:sz w:val="2"/>
                <w:szCs w:val="2"/>
              </w:rPr>
            </w:pPr>
          </w:p>
        </w:tc>
        <w:tc>
          <w:tcPr>
            <w:tcW w:w="1499" w:type="dxa"/>
            <w:vMerge/>
            <w:tcBorders>
              <w:left w:val="single" w:sz="6" w:space="0" w:color="000000"/>
              <w:bottom w:val="single" w:sz="6" w:space="0" w:color="000000"/>
            </w:tcBorders>
          </w:tcPr>
          <w:p w:rsidR="00E27AD1" w:rsidRDefault="00E27AD1">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E27AD1" w:rsidRDefault="00E27AD1">
            <w:pPr>
              <w:rPr>
                <w:rFonts w:ascii="仿宋" w:eastAsia="仿宋" w:hAnsi="仿宋" w:cs="仿宋"/>
                <w:sz w:val="2"/>
                <w:szCs w:val="2"/>
              </w:rPr>
            </w:pPr>
          </w:p>
        </w:tc>
      </w:tr>
      <w:tr w:rsidR="00E27AD1">
        <w:trPr>
          <w:trHeight w:val="152"/>
        </w:trPr>
        <w:tc>
          <w:tcPr>
            <w:tcW w:w="5466" w:type="dxa"/>
            <w:gridSpan w:val="2"/>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3</w:t>
            </w:r>
          </w:p>
        </w:tc>
      </w:tr>
      <w:tr w:rsidR="00E27AD1">
        <w:trPr>
          <w:trHeight w:hRule="exact" w:val="298"/>
        </w:trPr>
        <w:tc>
          <w:tcPr>
            <w:tcW w:w="5466" w:type="dxa"/>
            <w:gridSpan w:val="2"/>
            <w:tcBorders>
              <w:left w:val="single" w:sz="6" w:space="0" w:color="000000"/>
              <w:bottom w:val="single" w:sz="6"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11,413.94</w:t>
            </w:r>
          </w:p>
        </w:tc>
        <w:tc>
          <w:tcPr>
            <w:tcW w:w="1499" w:type="dxa"/>
            <w:tcBorders>
              <w:left w:val="single" w:sz="6" w:space="0" w:color="000000"/>
              <w:bottom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7,256.84</w:t>
            </w:r>
          </w:p>
        </w:tc>
        <w:tc>
          <w:tcPr>
            <w:tcW w:w="1512" w:type="dxa"/>
            <w:tcBorders>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4,157.10</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科学技术支出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2060208</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1,185.83</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7,673.77</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4,702.50</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2,971.27</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4,771.90</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1,318.59</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3,453.31</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2080102</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1,262.37</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1,262.37</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2080199</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56.22</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56.22</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1,145.19</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1,145.19</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558.75</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558.75</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390.96</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390.96</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195.48</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195.48</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1,302.72</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1,302.72</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2080712</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541.84</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541.84</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2080799</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760.88</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760.88</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2082501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291.46</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20899</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162.50</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104.00</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58.50</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2089999</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162.50</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104.00</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58.50</w:t>
            </w: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2,554.34</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2,030.04</w:t>
            </w:r>
          </w:p>
        </w:tc>
        <w:tc>
          <w:tcPr>
            <w:tcW w:w="1499" w:type="dxa"/>
            <w:tcBorders>
              <w:top w:val="single" w:sz="6" w:space="0" w:color="000000"/>
              <w:left w:val="single" w:sz="6" w:space="0" w:color="000000"/>
              <w:bottom w:val="single" w:sz="6" w:space="0" w:color="000000"/>
              <w:right w:val="single" w:sz="6"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2,030.04</w:t>
            </w:r>
          </w:p>
        </w:tc>
        <w:tc>
          <w:tcPr>
            <w:tcW w:w="1512" w:type="dxa"/>
            <w:tcBorders>
              <w:top w:val="single" w:sz="6" w:space="0" w:color="000000"/>
              <w:left w:val="single" w:sz="6" w:space="0" w:color="000000"/>
              <w:bottom w:val="single" w:sz="6" w:space="0" w:color="000000"/>
              <w:right w:val="single" w:sz="6" w:space="0" w:color="000000"/>
            </w:tcBorders>
            <w:vAlign w:val="center"/>
          </w:tcPr>
          <w:p w:rsidR="00E27AD1" w:rsidRDefault="00E27AD1">
            <w:pPr>
              <w:pStyle w:val="TableParagraph"/>
              <w:jc w:val="right"/>
              <w:rPr>
                <w:rFonts w:ascii="仿宋" w:eastAsia="仿宋" w:hAnsi="仿宋" w:cs="仿宋"/>
              </w:rPr>
            </w:pPr>
          </w:p>
        </w:tc>
      </w:tr>
    </w:tbl>
    <w:p w:rsidR="00E27AD1" w:rsidRDefault="002D7FCF">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E27AD1" w:rsidRDefault="00E27AD1">
      <w:pPr>
        <w:spacing w:before="25"/>
        <w:jc w:val="both"/>
        <w:rPr>
          <w:rFonts w:ascii="仿宋" w:eastAsia="仿宋" w:hAnsi="仿宋" w:cs="仿宋"/>
        </w:rPr>
        <w:sectPr w:rsidR="00E27AD1">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E27AD1">
        <w:trPr>
          <w:trHeight w:val="319"/>
        </w:trPr>
        <w:tc>
          <w:tcPr>
            <w:tcW w:w="10473" w:type="dxa"/>
            <w:gridSpan w:val="5"/>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E27AD1">
        <w:trPr>
          <w:trHeight w:val="199"/>
        </w:trPr>
        <w:tc>
          <w:tcPr>
            <w:tcW w:w="8595" w:type="dxa"/>
            <w:gridSpan w:val="4"/>
            <w:vAlign w:val="center"/>
          </w:tcPr>
          <w:p w:rsidR="00E27AD1" w:rsidRDefault="00E27AD1">
            <w:pPr>
              <w:pStyle w:val="TableParagraph"/>
              <w:jc w:val="right"/>
              <w:rPr>
                <w:rFonts w:ascii="仿宋" w:eastAsia="仿宋" w:hAnsi="仿宋" w:cs="仿宋"/>
                <w:color w:val="000000"/>
              </w:rPr>
            </w:pPr>
          </w:p>
        </w:tc>
        <w:tc>
          <w:tcPr>
            <w:tcW w:w="1878" w:type="dxa"/>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E27AD1">
        <w:trPr>
          <w:trHeight w:val="320"/>
        </w:trPr>
        <w:tc>
          <w:tcPr>
            <w:tcW w:w="8595" w:type="dxa"/>
            <w:gridSpan w:val="4"/>
            <w:vAlign w:val="center"/>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78" w:type="dxa"/>
            <w:vAlign w:val="center"/>
          </w:tcPr>
          <w:p w:rsidR="00E27AD1" w:rsidRDefault="002D7FCF">
            <w:pPr>
              <w:pStyle w:val="TableParagraph"/>
              <w:jc w:val="right"/>
              <w:rPr>
                <w:rFonts w:ascii="仿宋" w:eastAsia="仿宋" w:hAnsi="仿宋" w:cs="仿宋"/>
                <w:sz w:val="20"/>
              </w:rPr>
            </w:pPr>
            <w:r>
              <w:rPr>
                <w:rFonts w:ascii="仿宋" w:eastAsia="仿宋" w:hAnsi="仿宋" w:cs="仿宋" w:hint="eastAsia"/>
              </w:rPr>
              <w:t>金额单位：万元</w:t>
            </w:r>
          </w:p>
        </w:tc>
      </w:tr>
      <w:tr w:rsidR="00E27AD1">
        <w:trPr>
          <w:trHeight w:val="180"/>
        </w:trPr>
        <w:tc>
          <w:tcPr>
            <w:tcW w:w="4687"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E27AD1">
        <w:trPr>
          <w:trHeight w:val="474"/>
        </w:trPr>
        <w:tc>
          <w:tcPr>
            <w:tcW w:w="1121"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公用经费</w:t>
            </w:r>
          </w:p>
        </w:tc>
      </w:tr>
      <w:tr w:rsidR="00E27AD1">
        <w:trPr>
          <w:trHeight w:hRule="exact" w:val="394"/>
        </w:trPr>
        <w:tc>
          <w:tcPr>
            <w:tcW w:w="4687"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7,256.84</w:t>
            </w:r>
          </w:p>
        </w:tc>
        <w:tc>
          <w:tcPr>
            <w:tcW w:w="1708"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6,852.14</w:t>
            </w:r>
          </w:p>
        </w:tc>
        <w:tc>
          <w:tcPr>
            <w:tcW w:w="1878"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5,281.54</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5,281.54</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1,083.30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1,083.30</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1,590.07</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1,590.07</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954.92</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954.92</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401.08</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401.08</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195.26</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195.26</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154.58</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154.58</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15.24</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15.24</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524.30</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76.43</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76.43</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286.37</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286.37</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92.80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92.80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17.70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17.70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2.02</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2.02</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40.50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40.50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10.05</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10.05</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0.06</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0.06</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0.24</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0.24</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3.00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3.00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2.80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32.64</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32.64</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2.30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2.30</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139.55</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139.55</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61.04</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61.04</w:t>
            </w: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1,570.59</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1,570.59</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86.00</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86.00</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1,371.26</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1,371.26</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4.68</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4.68</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108.65</w:t>
            </w: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108.65</w:t>
            </w: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bl>
    <w:p w:rsidR="00E27AD1" w:rsidRDefault="002D7FCF">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E27AD1" w:rsidRDefault="00E27AD1">
      <w:pPr>
        <w:spacing w:before="25"/>
        <w:jc w:val="both"/>
        <w:rPr>
          <w:rFonts w:ascii="仿宋" w:eastAsia="仿宋" w:hAnsi="仿宋" w:cs="仿宋"/>
        </w:rPr>
        <w:sectPr w:rsidR="00E27AD1">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E27AD1">
        <w:trPr>
          <w:trHeight w:val="321"/>
        </w:trPr>
        <w:tc>
          <w:tcPr>
            <w:tcW w:w="16486" w:type="dxa"/>
            <w:gridSpan w:val="16"/>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E27AD1">
        <w:trPr>
          <w:trHeight w:val="207"/>
        </w:trPr>
        <w:tc>
          <w:tcPr>
            <w:tcW w:w="16486" w:type="dxa"/>
            <w:gridSpan w:val="16"/>
          </w:tcPr>
          <w:p w:rsidR="00E27AD1" w:rsidRDefault="002D7FCF">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E27AD1">
        <w:trPr>
          <w:trHeight w:val="103"/>
        </w:trPr>
        <w:tc>
          <w:tcPr>
            <w:tcW w:w="8212" w:type="dxa"/>
            <w:gridSpan w:val="8"/>
            <w:tcBorders>
              <w:bottom w:val="single" w:sz="4" w:space="0" w:color="auto"/>
            </w:tcBorders>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8274" w:type="dxa"/>
            <w:gridSpan w:val="8"/>
            <w:tcBorders>
              <w:bottom w:val="single" w:sz="4" w:space="0" w:color="auto"/>
            </w:tcBorders>
          </w:tcPr>
          <w:p w:rsidR="00E27AD1" w:rsidRDefault="002D7FCF">
            <w:pPr>
              <w:pStyle w:val="TableParagraph"/>
              <w:jc w:val="right"/>
              <w:rPr>
                <w:rFonts w:ascii="仿宋" w:eastAsia="仿宋" w:hAnsi="仿宋" w:cs="仿宋"/>
              </w:rPr>
            </w:pPr>
            <w:r>
              <w:rPr>
                <w:rFonts w:ascii="仿宋" w:eastAsia="仿宋" w:hAnsi="仿宋" w:cs="仿宋" w:hint="eastAsia"/>
              </w:rPr>
              <w:t>金额单位：万元</w:t>
            </w:r>
          </w:p>
        </w:tc>
      </w:tr>
      <w:tr w:rsidR="00E27AD1">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E27AD1" w:rsidRDefault="002D7FCF">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E27AD1" w:rsidRDefault="002D7FCF">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E27AD1">
        <w:trPr>
          <w:trHeight w:val="179"/>
        </w:trPr>
        <w:tc>
          <w:tcPr>
            <w:tcW w:w="6159" w:type="dxa"/>
            <w:gridSpan w:val="6"/>
            <w:tcBorders>
              <w:top w:val="single" w:sz="4" w:space="0" w:color="auto"/>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培训费</w:t>
            </w:r>
          </w:p>
        </w:tc>
      </w:tr>
      <w:tr w:rsidR="00E27AD1">
        <w:trPr>
          <w:trHeight w:val="297"/>
        </w:trPr>
        <w:tc>
          <w:tcPr>
            <w:tcW w:w="1044" w:type="dxa"/>
            <w:vMerge w:val="restart"/>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w:t>
            </w:r>
          </w:p>
          <w:p w:rsidR="00E27AD1" w:rsidRDefault="002D7FCF">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E27AD1" w:rsidRDefault="00E27AD1">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E27AD1" w:rsidRDefault="00E27AD1">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w:t>
            </w:r>
          </w:p>
          <w:p w:rsidR="00E27AD1" w:rsidRDefault="002D7FCF">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E27AD1" w:rsidRDefault="00E27AD1">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E27AD1" w:rsidRDefault="00E27AD1">
            <w:pPr>
              <w:jc w:val="center"/>
              <w:rPr>
                <w:rFonts w:ascii="仿宋" w:eastAsia="仿宋" w:hAnsi="仿宋" w:cs="仿宋"/>
                <w:sz w:val="20"/>
              </w:rPr>
            </w:pPr>
          </w:p>
        </w:tc>
      </w:tr>
      <w:tr w:rsidR="00E27AD1">
        <w:trPr>
          <w:trHeight w:hRule="exact" w:val="621"/>
        </w:trPr>
        <w:tc>
          <w:tcPr>
            <w:tcW w:w="1044" w:type="dxa"/>
            <w:vMerge/>
            <w:tcBorders>
              <w:left w:val="single" w:sz="4" w:space="0" w:color="000000"/>
              <w:bottom w:val="single" w:sz="4" w:space="0" w:color="000000"/>
            </w:tcBorders>
          </w:tcPr>
          <w:p w:rsidR="00E27AD1" w:rsidRDefault="00E27AD1">
            <w:pPr>
              <w:rPr>
                <w:rFonts w:ascii="仿宋" w:eastAsia="仿宋" w:hAnsi="仿宋" w:cs="仿宋"/>
                <w:sz w:val="2"/>
                <w:szCs w:val="2"/>
              </w:rPr>
            </w:pPr>
          </w:p>
        </w:tc>
        <w:tc>
          <w:tcPr>
            <w:tcW w:w="1042" w:type="dxa"/>
            <w:vMerge/>
            <w:tcBorders>
              <w:left w:val="single" w:sz="4" w:space="0" w:color="000000"/>
              <w:bottom w:val="single" w:sz="4" w:space="0" w:color="000000"/>
            </w:tcBorders>
          </w:tcPr>
          <w:p w:rsidR="00E27AD1" w:rsidRDefault="00E27AD1">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E27AD1" w:rsidRDefault="00E27AD1">
            <w:pPr>
              <w:rPr>
                <w:rFonts w:ascii="仿宋" w:eastAsia="仿宋" w:hAnsi="仿宋" w:cs="仿宋"/>
                <w:sz w:val="2"/>
                <w:szCs w:val="2"/>
              </w:rPr>
            </w:pPr>
          </w:p>
        </w:tc>
        <w:tc>
          <w:tcPr>
            <w:tcW w:w="1043" w:type="dxa"/>
            <w:vMerge/>
            <w:tcBorders>
              <w:left w:val="single" w:sz="4" w:space="0" w:color="000000"/>
              <w:bottom w:val="single" w:sz="4" w:space="0" w:color="000000"/>
            </w:tcBorders>
          </w:tcPr>
          <w:p w:rsidR="00E27AD1" w:rsidRDefault="00E27AD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sz w:val="2"/>
                <w:szCs w:val="2"/>
              </w:rPr>
            </w:pPr>
          </w:p>
        </w:tc>
      </w:tr>
      <w:tr w:rsidR="00E27AD1">
        <w:trPr>
          <w:cantSplit/>
          <w:trHeight w:val="380"/>
        </w:trPr>
        <w:tc>
          <w:tcPr>
            <w:tcW w:w="1044"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21.84</w:t>
            </w:r>
          </w:p>
        </w:tc>
        <w:tc>
          <w:tcPr>
            <w:tcW w:w="1042"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14.23</w:t>
            </w:r>
          </w:p>
        </w:tc>
        <w:tc>
          <w:tcPr>
            <w:tcW w:w="1020"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3.17</w:t>
            </w:r>
          </w:p>
        </w:tc>
        <w:tc>
          <w:tcPr>
            <w:tcW w:w="1029"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3.17</w:t>
            </w:r>
          </w:p>
        </w:tc>
        <w:tc>
          <w:tcPr>
            <w:tcW w:w="1026"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4.44</w:t>
            </w:r>
          </w:p>
        </w:tc>
        <w:tc>
          <w:tcPr>
            <w:tcW w:w="1043" w:type="dxa"/>
            <w:tcBorders>
              <w:left w:val="single" w:sz="4" w:space="0" w:color="000000"/>
              <w:bottom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108.00</w:t>
            </w:r>
          </w:p>
        </w:tc>
        <w:tc>
          <w:tcPr>
            <w:tcW w:w="1010"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111.64</w:t>
            </w:r>
          </w:p>
        </w:tc>
        <w:tc>
          <w:tcPr>
            <w:tcW w:w="1058"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19.33</w:t>
            </w:r>
          </w:p>
        </w:tc>
        <w:tc>
          <w:tcPr>
            <w:tcW w:w="1010"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14.23</w:t>
            </w:r>
          </w:p>
        </w:tc>
        <w:tc>
          <w:tcPr>
            <w:tcW w:w="948"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2.30</w:t>
            </w:r>
          </w:p>
        </w:tc>
        <w:tc>
          <w:tcPr>
            <w:tcW w:w="1089"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2.30</w:t>
            </w:r>
          </w:p>
        </w:tc>
        <w:tc>
          <w:tcPr>
            <w:tcW w:w="1043"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2.80</w:t>
            </w:r>
          </w:p>
        </w:tc>
        <w:tc>
          <w:tcPr>
            <w:tcW w:w="1057"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89.94</w:t>
            </w:r>
          </w:p>
        </w:tc>
        <w:tc>
          <w:tcPr>
            <w:tcW w:w="1027"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sz w:val="18"/>
                <w:szCs w:val="18"/>
              </w:rPr>
            </w:pPr>
            <w:r>
              <w:rPr>
                <w:rFonts w:ascii="仿宋" w:eastAsia="仿宋" w:hAnsi="仿宋" w:cs="仿宋" w:hint="eastAsia"/>
                <w:sz w:val="18"/>
                <w:szCs w:val="18"/>
              </w:rPr>
              <w:t>42.41</w:t>
            </w:r>
          </w:p>
        </w:tc>
      </w:tr>
    </w:tbl>
    <w:p w:rsidR="00E27AD1" w:rsidRDefault="002D7FCF">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E27AD1">
        <w:trPr>
          <w:cantSplit/>
          <w:trHeight w:val="214"/>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统计数</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3.00</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3.00</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17.00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185.00</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0.00</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4.00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2,401.00</w:t>
            </w:r>
          </w:p>
        </w:tc>
      </w:tr>
      <w:tr w:rsidR="00E27AD1">
        <w:trPr>
          <w:cantSplit/>
          <w:trHeight w:val="190"/>
        </w:trPr>
        <w:tc>
          <w:tcPr>
            <w:tcW w:w="4028" w:type="dxa"/>
            <w:tcBorders>
              <w:top w:val="single" w:sz="4" w:space="0" w:color="auto"/>
              <w:left w:val="single" w:sz="4" w:space="0" w:color="auto"/>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20.00</w:t>
            </w:r>
          </w:p>
        </w:tc>
        <w:tc>
          <w:tcPr>
            <w:tcW w:w="3908" w:type="dxa"/>
            <w:tcBorders>
              <w:top w:val="single" w:sz="4" w:space="0" w:color="auto"/>
              <w:left w:val="single" w:sz="4" w:space="0" w:color="000000"/>
              <w:bottom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2,284.00</w:t>
            </w:r>
          </w:p>
        </w:tc>
      </w:tr>
    </w:tbl>
    <w:p w:rsidR="00E27AD1" w:rsidRDefault="002D7FCF">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E27AD1" w:rsidRDefault="00E27AD1">
      <w:pPr>
        <w:ind w:left="227" w:firstLineChars="100" w:firstLine="220"/>
        <w:jc w:val="both"/>
        <w:rPr>
          <w:rFonts w:ascii="仿宋" w:eastAsia="仿宋" w:hAnsi="仿宋" w:cs="仿宋"/>
        </w:rPr>
        <w:sectPr w:rsidR="00E27AD1">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E27AD1">
        <w:trPr>
          <w:trHeight w:val="395"/>
        </w:trPr>
        <w:tc>
          <w:tcPr>
            <w:tcW w:w="15400" w:type="dxa"/>
            <w:gridSpan w:val="5"/>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E27AD1">
        <w:trPr>
          <w:trHeight w:val="323"/>
        </w:trPr>
        <w:tc>
          <w:tcPr>
            <w:tcW w:w="8426" w:type="dxa"/>
            <w:gridSpan w:val="2"/>
          </w:tcPr>
          <w:p w:rsidR="00E27AD1" w:rsidRDefault="00E27AD1">
            <w:pPr>
              <w:pStyle w:val="TableParagraph"/>
              <w:rPr>
                <w:rFonts w:ascii="仿宋" w:eastAsia="仿宋" w:hAnsi="仿宋" w:cs="仿宋"/>
                <w:sz w:val="20"/>
              </w:rPr>
            </w:pPr>
          </w:p>
        </w:tc>
        <w:tc>
          <w:tcPr>
            <w:tcW w:w="2684" w:type="dxa"/>
          </w:tcPr>
          <w:p w:rsidR="00E27AD1" w:rsidRDefault="00E27AD1">
            <w:pPr>
              <w:pStyle w:val="TableParagraph"/>
              <w:rPr>
                <w:rFonts w:ascii="仿宋" w:eastAsia="仿宋" w:hAnsi="仿宋" w:cs="仿宋"/>
                <w:sz w:val="27"/>
              </w:rPr>
            </w:pPr>
          </w:p>
        </w:tc>
        <w:tc>
          <w:tcPr>
            <w:tcW w:w="2432" w:type="dxa"/>
          </w:tcPr>
          <w:p w:rsidR="00E27AD1" w:rsidRDefault="00E27AD1">
            <w:pPr>
              <w:pStyle w:val="TableParagraph"/>
              <w:rPr>
                <w:rFonts w:ascii="仿宋" w:eastAsia="仿宋" w:hAnsi="仿宋" w:cs="仿宋"/>
                <w:sz w:val="20"/>
              </w:rPr>
            </w:pPr>
          </w:p>
        </w:tc>
        <w:tc>
          <w:tcPr>
            <w:tcW w:w="1858"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E27AD1">
        <w:trPr>
          <w:trHeight w:val="152"/>
        </w:trPr>
        <w:tc>
          <w:tcPr>
            <w:tcW w:w="13542" w:type="dxa"/>
            <w:gridSpan w:val="4"/>
            <w:vAlign w:val="center"/>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58"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金额单位：万元</w:t>
            </w:r>
          </w:p>
        </w:tc>
      </w:tr>
      <w:tr w:rsidR="00E27AD1">
        <w:trPr>
          <w:trHeight w:val="267"/>
        </w:trPr>
        <w:tc>
          <w:tcPr>
            <w:tcW w:w="8426"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项目支出</w:t>
            </w:r>
          </w:p>
        </w:tc>
      </w:tr>
      <w:tr w:rsidR="00E27AD1">
        <w:trPr>
          <w:trHeight w:val="427"/>
        </w:trPr>
        <w:tc>
          <w:tcPr>
            <w:tcW w:w="1431"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w:t>
            </w:r>
          </w:p>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E27AD1" w:rsidRDefault="00E27AD1">
            <w:pPr>
              <w:rPr>
                <w:rFonts w:ascii="仿宋" w:eastAsia="仿宋" w:hAnsi="仿宋" w:cs="仿宋"/>
              </w:rPr>
            </w:pPr>
          </w:p>
        </w:tc>
        <w:tc>
          <w:tcPr>
            <w:tcW w:w="2432" w:type="dxa"/>
            <w:vMerge/>
            <w:tcBorders>
              <w:left w:val="single" w:sz="4" w:space="0" w:color="000000"/>
              <w:bottom w:val="single" w:sz="4" w:space="0" w:color="000000"/>
            </w:tcBorders>
            <w:vAlign w:val="center"/>
          </w:tcPr>
          <w:p w:rsidR="00E27AD1" w:rsidRDefault="00E27AD1">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rPr>
            </w:pPr>
          </w:p>
        </w:tc>
      </w:tr>
      <w:tr w:rsidR="00E27AD1">
        <w:trPr>
          <w:trHeight w:val="275"/>
        </w:trPr>
        <w:tc>
          <w:tcPr>
            <w:tcW w:w="8426"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lang w:val="en-US"/>
              </w:rPr>
            </w:pPr>
            <w:r>
              <w:rPr>
                <w:rFonts w:ascii="仿宋" w:eastAsia="仿宋" w:hAnsi="仿宋" w:cs="仿宋" w:hint="eastAsia"/>
                <w:lang w:val="en-US"/>
              </w:rPr>
              <w:t>3</w:t>
            </w:r>
          </w:p>
        </w:tc>
      </w:tr>
      <w:tr w:rsidR="00E27AD1">
        <w:trPr>
          <w:trHeight w:hRule="exact" w:val="389"/>
        </w:trPr>
        <w:tc>
          <w:tcPr>
            <w:tcW w:w="8426"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bl>
    <w:p w:rsidR="00E27AD1" w:rsidRDefault="002D7FCF">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E27AD1" w:rsidRDefault="002D7FCF">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E27AD1" w:rsidRDefault="00E27AD1">
      <w:pPr>
        <w:spacing w:before="25"/>
        <w:jc w:val="both"/>
        <w:rPr>
          <w:rFonts w:ascii="仿宋" w:eastAsia="仿宋" w:hAnsi="仿宋" w:cs="仿宋"/>
          <w:lang w:val="en-US"/>
        </w:rPr>
        <w:sectPr w:rsidR="00E27AD1">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E27AD1">
        <w:trPr>
          <w:trHeight w:val="395"/>
        </w:trPr>
        <w:tc>
          <w:tcPr>
            <w:tcW w:w="15400" w:type="dxa"/>
            <w:gridSpan w:val="5"/>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E27AD1">
        <w:trPr>
          <w:trHeight w:val="323"/>
        </w:trPr>
        <w:tc>
          <w:tcPr>
            <w:tcW w:w="8520" w:type="dxa"/>
            <w:gridSpan w:val="2"/>
          </w:tcPr>
          <w:p w:rsidR="00E27AD1" w:rsidRDefault="00E27AD1">
            <w:pPr>
              <w:pStyle w:val="TableParagraph"/>
              <w:rPr>
                <w:rFonts w:ascii="仿宋" w:eastAsia="仿宋" w:hAnsi="仿宋" w:cs="仿宋"/>
                <w:sz w:val="20"/>
              </w:rPr>
            </w:pPr>
          </w:p>
        </w:tc>
        <w:tc>
          <w:tcPr>
            <w:tcW w:w="2510" w:type="dxa"/>
          </w:tcPr>
          <w:p w:rsidR="00E27AD1" w:rsidRDefault="00E27AD1">
            <w:pPr>
              <w:pStyle w:val="TableParagraph"/>
              <w:rPr>
                <w:rFonts w:ascii="仿宋" w:eastAsia="仿宋" w:hAnsi="仿宋" w:cs="仿宋"/>
                <w:sz w:val="27"/>
              </w:rPr>
            </w:pPr>
          </w:p>
        </w:tc>
        <w:tc>
          <w:tcPr>
            <w:tcW w:w="2309" w:type="dxa"/>
          </w:tcPr>
          <w:p w:rsidR="00E27AD1" w:rsidRDefault="00E27AD1">
            <w:pPr>
              <w:pStyle w:val="TableParagraph"/>
              <w:rPr>
                <w:rFonts w:ascii="仿宋" w:eastAsia="仿宋" w:hAnsi="仿宋" w:cs="仿宋"/>
                <w:sz w:val="20"/>
              </w:rPr>
            </w:pPr>
          </w:p>
        </w:tc>
        <w:tc>
          <w:tcPr>
            <w:tcW w:w="2061"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E27AD1">
        <w:trPr>
          <w:trHeight w:val="152"/>
        </w:trPr>
        <w:tc>
          <w:tcPr>
            <w:tcW w:w="13339" w:type="dxa"/>
            <w:gridSpan w:val="4"/>
            <w:vAlign w:val="center"/>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2061"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金额单位：万元</w:t>
            </w:r>
          </w:p>
        </w:tc>
      </w:tr>
      <w:tr w:rsidR="00E27AD1">
        <w:trPr>
          <w:trHeight w:val="267"/>
        </w:trPr>
        <w:tc>
          <w:tcPr>
            <w:tcW w:w="8520" w:type="dxa"/>
            <w:gridSpan w:val="2"/>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项目支出</w:t>
            </w:r>
          </w:p>
        </w:tc>
      </w:tr>
      <w:tr w:rsidR="00E27AD1">
        <w:trPr>
          <w:trHeight w:val="427"/>
        </w:trPr>
        <w:tc>
          <w:tcPr>
            <w:tcW w:w="1462"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功能分类</w:t>
            </w:r>
          </w:p>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E27AD1" w:rsidRDefault="00E27AD1">
            <w:pPr>
              <w:rPr>
                <w:rFonts w:ascii="仿宋" w:eastAsia="仿宋" w:hAnsi="仿宋" w:cs="仿宋"/>
              </w:rPr>
            </w:pPr>
          </w:p>
        </w:tc>
        <w:tc>
          <w:tcPr>
            <w:tcW w:w="2309" w:type="dxa"/>
            <w:vMerge/>
            <w:tcBorders>
              <w:left w:val="single" w:sz="4" w:space="0" w:color="000000"/>
              <w:bottom w:val="single" w:sz="4" w:space="0" w:color="000000"/>
            </w:tcBorders>
            <w:vAlign w:val="center"/>
          </w:tcPr>
          <w:p w:rsidR="00E27AD1" w:rsidRDefault="00E27AD1">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rPr>
            </w:pPr>
          </w:p>
        </w:tc>
      </w:tr>
      <w:tr w:rsidR="00E27AD1">
        <w:trPr>
          <w:trHeight w:val="275"/>
        </w:trPr>
        <w:tc>
          <w:tcPr>
            <w:tcW w:w="8520"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lang w:val="en-US"/>
              </w:rPr>
            </w:pPr>
            <w:r>
              <w:rPr>
                <w:rFonts w:ascii="仿宋" w:eastAsia="仿宋" w:hAnsi="仿宋" w:cs="仿宋" w:hint="eastAsia"/>
                <w:lang w:val="en-US"/>
              </w:rPr>
              <w:t>3</w:t>
            </w:r>
          </w:p>
        </w:tc>
      </w:tr>
      <w:tr w:rsidR="00E27AD1">
        <w:trPr>
          <w:trHeight w:hRule="exact" w:val="389"/>
        </w:trPr>
        <w:tc>
          <w:tcPr>
            <w:tcW w:w="8520"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E27AD1" w:rsidRDefault="00E27AD1">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27AD1" w:rsidRDefault="00E27AD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bl>
    <w:p w:rsidR="00E27AD1" w:rsidRDefault="002D7FCF">
      <w:pPr>
        <w:jc w:val="both"/>
        <w:rPr>
          <w:rFonts w:ascii="仿宋" w:eastAsia="仿宋" w:hAnsi="仿宋" w:cs="仿宋"/>
        </w:rPr>
      </w:pPr>
      <w:r>
        <w:rPr>
          <w:rFonts w:ascii="仿宋" w:eastAsia="仿宋" w:hAnsi="仿宋" w:cs="仿宋" w:hint="eastAsia"/>
        </w:rPr>
        <w:t>注：本表反映本年度国有资本经营预算财政拨款支出情况。</w:t>
      </w:r>
    </w:p>
    <w:p w:rsidR="00E27AD1" w:rsidRDefault="002D7FCF">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E27AD1" w:rsidRDefault="00E27AD1">
      <w:pPr>
        <w:spacing w:before="25"/>
        <w:ind w:leftChars="-100" w:left="-220"/>
        <w:jc w:val="both"/>
        <w:rPr>
          <w:rFonts w:ascii="仿宋" w:eastAsia="仿宋" w:hAnsi="仿宋" w:cs="仿宋"/>
          <w:lang w:val="en-US"/>
        </w:rPr>
        <w:sectPr w:rsidR="00E27AD1">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E27AD1">
        <w:trPr>
          <w:trHeight w:val="319"/>
        </w:trPr>
        <w:tc>
          <w:tcPr>
            <w:tcW w:w="10466" w:type="dxa"/>
            <w:gridSpan w:val="3"/>
          </w:tcPr>
          <w:p w:rsidR="00E27AD1" w:rsidRDefault="002D7FCF">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E27AD1">
        <w:trPr>
          <w:trHeight w:val="90"/>
        </w:trPr>
        <w:tc>
          <w:tcPr>
            <w:tcW w:w="6632" w:type="dxa"/>
            <w:gridSpan w:val="2"/>
          </w:tcPr>
          <w:p w:rsidR="00E27AD1" w:rsidRDefault="00E27AD1">
            <w:pPr>
              <w:pStyle w:val="TableParagraph"/>
              <w:rPr>
                <w:rFonts w:ascii="仿宋" w:eastAsia="仿宋" w:hAnsi="仿宋" w:cs="仿宋"/>
                <w:sz w:val="20"/>
              </w:rPr>
            </w:pPr>
          </w:p>
        </w:tc>
        <w:tc>
          <w:tcPr>
            <w:tcW w:w="3834" w:type="dxa"/>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E27AD1">
        <w:trPr>
          <w:trHeight w:val="90"/>
        </w:trPr>
        <w:tc>
          <w:tcPr>
            <w:tcW w:w="6632" w:type="dxa"/>
            <w:gridSpan w:val="2"/>
            <w:vAlign w:val="center"/>
          </w:tcPr>
          <w:p w:rsidR="00E27AD1" w:rsidRDefault="002D7FC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834" w:type="dxa"/>
            <w:vAlign w:val="center"/>
          </w:tcPr>
          <w:p w:rsidR="00E27AD1" w:rsidRDefault="002D7FCF">
            <w:pPr>
              <w:pStyle w:val="TableParagraph"/>
              <w:jc w:val="right"/>
              <w:rPr>
                <w:rFonts w:ascii="仿宋" w:eastAsia="仿宋" w:hAnsi="仿宋" w:cs="仿宋"/>
                <w:sz w:val="27"/>
              </w:rPr>
            </w:pPr>
            <w:r>
              <w:rPr>
                <w:rFonts w:ascii="仿宋" w:eastAsia="仿宋" w:hAnsi="仿宋" w:cs="仿宋" w:hint="eastAsia"/>
              </w:rPr>
              <w:t>金额单位：万元</w:t>
            </w:r>
          </w:p>
        </w:tc>
      </w:tr>
      <w:tr w:rsidR="00E27AD1">
        <w:trPr>
          <w:trHeight w:val="319"/>
        </w:trPr>
        <w:tc>
          <w:tcPr>
            <w:tcW w:w="6632" w:type="dxa"/>
            <w:gridSpan w:val="2"/>
            <w:tcBorders>
              <w:top w:val="single" w:sz="4" w:space="0" w:color="000000"/>
              <w:left w:val="single" w:sz="4" w:space="0" w:color="000000"/>
              <w:bottom w:val="single" w:sz="4" w:space="0" w:color="000000"/>
            </w:tcBorders>
          </w:tcPr>
          <w:p w:rsidR="00E27AD1" w:rsidRDefault="002D7FCF">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机关运行经费支出决算</w:t>
            </w:r>
          </w:p>
        </w:tc>
      </w:tr>
      <w:tr w:rsidR="00E27AD1">
        <w:trPr>
          <w:trHeight w:val="363"/>
        </w:trPr>
        <w:tc>
          <w:tcPr>
            <w:tcW w:w="1642"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E27AD1" w:rsidRDefault="00E27AD1">
            <w:pPr>
              <w:rPr>
                <w:rFonts w:ascii="仿宋" w:eastAsia="仿宋" w:hAnsi="仿宋" w:cs="仿宋"/>
              </w:rPr>
            </w:pPr>
          </w:p>
        </w:tc>
      </w:tr>
      <w:tr w:rsidR="00E27AD1">
        <w:trPr>
          <w:trHeight w:val="229"/>
        </w:trPr>
        <w:tc>
          <w:tcPr>
            <w:tcW w:w="6632" w:type="dxa"/>
            <w:gridSpan w:val="2"/>
            <w:tcBorders>
              <w:left w:val="single" w:sz="4" w:space="0" w:color="000000"/>
              <w:bottom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404.70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404.70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92.80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17.70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2.02</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40.50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10.05</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0.06</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0.24</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3.00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2.80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32.64</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2.30</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139.55</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2D7FCF">
            <w:pPr>
              <w:jc w:val="right"/>
              <w:rPr>
                <w:rFonts w:ascii="仿宋" w:eastAsia="仿宋" w:hAnsi="仿宋" w:cs="仿宋"/>
              </w:rPr>
            </w:pPr>
            <w:r>
              <w:rPr>
                <w:rFonts w:ascii="仿宋" w:eastAsia="仿宋" w:hAnsi="仿宋" w:cs="仿宋" w:hint="eastAsia"/>
              </w:rPr>
              <w:t>61.04</w:t>
            </w: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r w:rsidR="00E27AD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27AD1" w:rsidRDefault="00E27AD1">
            <w:pPr>
              <w:jc w:val="right"/>
              <w:rPr>
                <w:rFonts w:ascii="仿宋" w:eastAsia="仿宋" w:hAnsi="仿宋" w:cs="仿宋"/>
              </w:rPr>
            </w:pPr>
          </w:p>
        </w:tc>
      </w:tr>
    </w:tbl>
    <w:p w:rsidR="00E27AD1" w:rsidRDefault="002D7FCF">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E27AD1" w:rsidRDefault="00E27AD1">
      <w:pPr>
        <w:tabs>
          <w:tab w:val="left" w:pos="440"/>
        </w:tabs>
        <w:spacing w:before="25"/>
        <w:ind w:leftChars="200" w:left="440"/>
        <w:jc w:val="both"/>
        <w:rPr>
          <w:rFonts w:ascii="仿宋" w:eastAsia="仿宋" w:hAnsi="仿宋" w:cs="仿宋"/>
          <w:lang w:val="en-US"/>
        </w:rPr>
        <w:sectPr w:rsidR="00E27AD1">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E27AD1">
        <w:trPr>
          <w:trHeight w:val="333"/>
        </w:trPr>
        <w:tc>
          <w:tcPr>
            <w:tcW w:w="10459" w:type="dxa"/>
            <w:gridSpan w:val="4"/>
            <w:vAlign w:val="center"/>
          </w:tcPr>
          <w:p w:rsidR="00E27AD1" w:rsidRDefault="002D7FCF">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E27AD1">
        <w:trPr>
          <w:trHeight w:val="333"/>
        </w:trPr>
        <w:tc>
          <w:tcPr>
            <w:tcW w:w="4472" w:type="dxa"/>
          </w:tcPr>
          <w:p w:rsidR="00E27AD1" w:rsidRDefault="00E27AD1">
            <w:pPr>
              <w:pStyle w:val="TableParagraph"/>
              <w:rPr>
                <w:rFonts w:ascii="仿宋" w:eastAsia="仿宋" w:hAnsi="仿宋" w:cs="仿宋"/>
              </w:rPr>
            </w:pPr>
          </w:p>
        </w:tc>
        <w:tc>
          <w:tcPr>
            <w:tcW w:w="722" w:type="dxa"/>
          </w:tcPr>
          <w:p w:rsidR="00E27AD1" w:rsidRDefault="00E27AD1">
            <w:pPr>
              <w:pStyle w:val="TableParagraph"/>
              <w:rPr>
                <w:rFonts w:ascii="仿宋" w:eastAsia="仿宋" w:hAnsi="仿宋" w:cs="仿宋"/>
              </w:rPr>
            </w:pPr>
          </w:p>
        </w:tc>
        <w:tc>
          <w:tcPr>
            <w:tcW w:w="1992" w:type="dxa"/>
          </w:tcPr>
          <w:p w:rsidR="00E27AD1" w:rsidRDefault="00E27AD1">
            <w:pPr>
              <w:pStyle w:val="TableParagraph"/>
              <w:rPr>
                <w:rFonts w:ascii="仿宋" w:eastAsia="仿宋" w:hAnsi="仿宋" w:cs="仿宋"/>
              </w:rPr>
            </w:pPr>
          </w:p>
        </w:tc>
        <w:tc>
          <w:tcPr>
            <w:tcW w:w="3273" w:type="dxa"/>
            <w:vAlign w:val="center"/>
          </w:tcPr>
          <w:p w:rsidR="00E27AD1" w:rsidRDefault="002D7FCF">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E27AD1">
        <w:trPr>
          <w:trHeight w:val="90"/>
        </w:trPr>
        <w:tc>
          <w:tcPr>
            <w:tcW w:w="7186" w:type="dxa"/>
            <w:gridSpan w:val="3"/>
          </w:tcPr>
          <w:p w:rsidR="00E27AD1" w:rsidRDefault="002D7FC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273" w:type="dxa"/>
            <w:vAlign w:val="center"/>
          </w:tcPr>
          <w:p w:rsidR="00E27AD1" w:rsidRDefault="002D7FCF">
            <w:pPr>
              <w:pStyle w:val="TableParagraph"/>
              <w:jc w:val="right"/>
              <w:rPr>
                <w:rFonts w:ascii="仿宋" w:eastAsia="仿宋" w:hAnsi="仿宋" w:cs="仿宋"/>
              </w:rPr>
            </w:pPr>
            <w:r>
              <w:rPr>
                <w:rFonts w:ascii="仿宋" w:eastAsia="仿宋" w:hAnsi="仿宋" w:cs="仿宋" w:hint="eastAsia"/>
              </w:rPr>
              <w:t>单位：万元</w:t>
            </w:r>
          </w:p>
        </w:tc>
      </w:tr>
      <w:tr w:rsidR="00E27AD1">
        <w:trPr>
          <w:trHeight w:val="244"/>
        </w:trPr>
        <w:tc>
          <w:tcPr>
            <w:tcW w:w="4472" w:type="dxa"/>
            <w:tcBorders>
              <w:top w:val="single" w:sz="4" w:space="0" w:color="000000"/>
              <w:left w:val="single" w:sz="4" w:space="0" w:color="000000"/>
              <w:bottom w:val="single" w:sz="4" w:space="0" w:color="000000"/>
            </w:tcBorders>
            <w:vAlign w:val="center"/>
          </w:tcPr>
          <w:p w:rsidR="00E27AD1" w:rsidRDefault="002D7FCF">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E27AD1" w:rsidRDefault="002D7FCF">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3.91</w:t>
            </w: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2.31</w:t>
            </w: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E27AD1" w:rsidRDefault="002D7FCF">
            <w:pPr>
              <w:pStyle w:val="TableParagraph"/>
              <w:jc w:val="right"/>
              <w:rPr>
                <w:rFonts w:ascii="仿宋" w:eastAsia="仿宋" w:hAnsi="仿宋" w:cs="仿宋"/>
              </w:rPr>
            </w:pPr>
            <w:r>
              <w:rPr>
                <w:rFonts w:ascii="仿宋" w:eastAsia="仿宋" w:hAnsi="仿宋" w:cs="仿宋" w:hint="eastAsia"/>
              </w:rPr>
              <w:t>1.60</w:t>
            </w: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r w:rsidR="00E27AD1">
        <w:trPr>
          <w:cantSplit/>
          <w:trHeight w:val="277"/>
        </w:trPr>
        <w:tc>
          <w:tcPr>
            <w:tcW w:w="4472" w:type="dxa"/>
            <w:tcBorders>
              <w:left w:val="single" w:sz="4" w:space="0" w:color="000000"/>
              <w:bottom w:val="single" w:sz="4" w:space="0" w:color="000000"/>
            </w:tcBorders>
            <w:vAlign w:val="center"/>
          </w:tcPr>
          <w:p w:rsidR="00E27AD1" w:rsidRDefault="002D7FCF">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E27AD1" w:rsidRDefault="00E27AD1">
            <w:pPr>
              <w:pStyle w:val="TableParagraph"/>
              <w:jc w:val="right"/>
              <w:rPr>
                <w:rFonts w:ascii="仿宋" w:eastAsia="仿宋" w:hAnsi="仿宋" w:cs="仿宋"/>
              </w:rPr>
            </w:pPr>
          </w:p>
        </w:tc>
      </w:tr>
    </w:tbl>
    <w:p w:rsidR="00E27AD1" w:rsidRDefault="002D7FCF">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E27AD1" w:rsidRDefault="00E27AD1">
      <w:pPr>
        <w:ind w:leftChars="200" w:left="440"/>
        <w:jc w:val="both"/>
        <w:rPr>
          <w:rFonts w:ascii="仿宋" w:eastAsia="仿宋" w:hAnsi="仿宋" w:cs="仿宋"/>
          <w:lang w:val="en-US"/>
        </w:rPr>
        <w:sectPr w:rsidR="00E27AD1">
          <w:pgSz w:w="11906" w:h="16838"/>
          <w:pgMar w:top="720" w:right="720" w:bottom="720" w:left="720" w:header="170" w:footer="280" w:gutter="0"/>
          <w:pgNumType w:fmt="numberInDash"/>
          <w:cols w:space="720"/>
          <w:formProt w:val="0"/>
          <w:docGrid w:linePitch="100"/>
        </w:sectPr>
      </w:pPr>
    </w:p>
    <w:p w:rsidR="00E27AD1" w:rsidRDefault="002D7FCF">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E27AD1" w:rsidRDefault="00E27AD1">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11,413.94</w:t>
      </w:r>
      <w:r>
        <w:rPr>
          <w:rFonts w:ascii="仿宋" w:eastAsia="仿宋" w:hAnsi="仿宋" w:cs="仿宋"/>
        </w:rPr>
        <w:t>万元。与上年相比，收、支总计各减少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。其中：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11,413.94</w:t>
      </w:r>
      <w:r>
        <w:rPr>
          <w:rFonts w:ascii="仿宋" w:eastAsia="仿宋" w:hAnsi="仿宋" w:cs="仿宋"/>
          <w:b/>
        </w:rPr>
        <w:t>万元。包括：</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11,413.94</w:t>
      </w:r>
      <w:r>
        <w:rPr>
          <w:rFonts w:ascii="仿宋" w:eastAsia="仿宋" w:hAnsi="仿宋" w:cs="仿宋"/>
        </w:rPr>
        <w:t>万元。与上年相比，减少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，变动原因：年中按照财政要求压减项目支出。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11,413.94</w:t>
      </w:r>
      <w:r>
        <w:rPr>
          <w:rFonts w:ascii="仿宋" w:eastAsia="仿宋" w:hAnsi="仿宋" w:cs="仿宋"/>
          <w:b/>
        </w:rPr>
        <w:t>万元。包括：</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11,413.94</w:t>
      </w:r>
      <w:r>
        <w:rPr>
          <w:rFonts w:ascii="仿宋" w:eastAsia="仿宋" w:hAnsi="仿宋" w:cs="仿宋"/>
        </w:rPr>
        <w:t>万元</w:t>
      </w:r>
      <w:r>
        <w:rPr>
          <w:rFonts w:ascii="仿宋" w:eastAsia="仿宋" w:hAnsi="仿宋" w:cs="仿宋"/>
        </w:rPr>
        <w:t>。与上年相比，减少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，变动原因：年中按照财政要求压减项目支出。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11,413.94</w:t>
      </w:r>
      <w:r>
        <w:rPr>
          <w:rFonts w:ascii="仿宋" w:eastAsia="仿宋" w:hAnsi="仿宋" w:cs="仿宋"/>
        </w:rPr>
        <w:t>万元，其中：财政拨款收入</w:t>
      </w:r>
      <w:r>
        <w:rPr>
          <w:rFonts w:ascii="仿宋" w:eastAsia="仿宋" w:hAnsi="仿宋" w:cs="仿宋"/>
        </w:rPr>
        <w:t>11,413.94</w:t>
      </w:r>
      <w:r>
        <w:rPr>
          <w:rFonts w:ascii="仿宋" w:eastAsia="仿宋" w:hAnsi="仿宋" w:cs="仿宋"/>
        </w:rPr>
        <w:t>万元，占</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w:t>
      </w:r>
      <w:r>
        <w:rPr>
          <w:rFonts w:ascii="仿宋" w:eastAsia="仿宋" w:hAnsi="仿宋" w:cs="仿宋"/>
        </w:rPr>
        <w:lastRenderedPageBreak/>
        <w:t>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E27AD1" w:rsidRDefault="002D7FCF">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11,413.94</w:t>
      </w:r>
      <w:r>
        <w:rPr>
          <w:rFonts w:ascii="仿宋" w:eastAsia="仿宋" w:hAnsi="仿宋" w:cs="仿宋"/>
        </w:rPr>
        <w:t>万元，其中：基本支出</w:t>
      </w:r>
      <w:r>
        <w:rPr>
          <w:rFonts w:ascii="仿宋" w:eastAsia="仿宋" w:hAnsi="仿宋" w:cs="仿宋"/>
        </w:rPr>
        <w:t>7,256.84</w:t>
      </w:r>
      <w:r>
        <w:rPr>
          <w:rFonts w:ascii="仿宋" w:eastAsia="仿宋" w:hAnsi="仿宋" w:cs="仿宋"/>
        </w:rPr>
        <w:t>万元，占</w:t>
      </w:r>
      <w:r>
        <w:rPr>
          <w:rFonts w:ascii="仿宋" w:eastAsia="仿宋" w:hAnsi="仿宋" w:cs="仿宋"/>
        </w:rPr>
        <w:t>63.58%</w:t>
      </w:r>
      <w:r>
        <w:rPr>
          <w:rFonts w:ascii="仿宋" w:eastAsia="仿宋" w:hAnsi="仿宋" w:cs="仿宋"/>
        </w:rPr>
        <w:t>；项目支出</w:t>
      </w:r>
      <w:r>
        <w:rPr>
          <w:rFonts w:ascii="仿宋" w:eastAsia="仿宋" w:hAnsi="仿宋" w:cs="仿宋"/>
        </w:rPr>
        <w:t>4,157.1</w:t>
      </w:r>
      <w:r>
        <w:rPr>
          <w:rFonts w:ascii="仿宋" w:eastAsia="仿宋" w:hAnsi="仿宋" w:cs="仿宋"/>
        </w:rPr>
        <w:t>万元，占</w:t>
      </w:r>
      <w:r>
        <w:rPr>
          <w:rFonts w:ascii="仿宋" w:eastAsia="仿宋" w:hAnsi="仿宋" w:cs="仿宋"/>
        </w:rPr>
        <w:t>36.42%</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E27AD1" w:rsidRDefault="002D7FCF">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11,413.94</w:t>
      </w:r>
      <w:r>
        <w:rPr>
          <w:rFonts w:ascii="仿宋" w:eastAsia="仿宋" w:hAnsi="仿宋" w:cs="仿宋"/>
        </w:rPr>
        <w:t>万元。与上年相比，收、支总计各减少</w:t>
      </w:r>
      <w:r>
        <w:rPr>
          <w:rFonts w:ascii="仿宋" w:eastAsia="仿宋" w:hAnsi="仿宋" w:cs="仿宋"/>
        </w:rPr>
        <w:t>1,110.4</w:t>
      </w:r>
      <w:r>
        <w:rPr>
          <w:rFonts w:ascii="仿宋" w:eastAsia="仿宋" w:hAnsi="仿宋" w:cs="仿宋"/>
        </w:rPr>
        <w:t>万元，减少</w:t>
      </w:r>
      <w:r>
        <w:rPr>
          <w:rFonts w:ascii="仿宋" w:eastAsia="仿宋" w:hAnsi="仿宋" w:cs="仿宋"/>
        </w:rPr>
        <w:t>8.87%</w:t>
      </w:r>
      <w:r>
        <w:rPr>
          <w:rFonts w:ascii="仿宋" w:eastAsia="仿宋" w:hAnsi="仿宋" w:cs="仿宋"/>
        </w:rPr>
        <w:t>，变动原因：年中按照财政要求压减项目支出。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11,413.94</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8,698.17</w:t>
      </w:r>
      <w:r>
        <w:rPr>
          <w:rFonts w:ascii="仿宋" w:eastAsia="仿宋" w:hAnsi="仿宋" w:cs="仿宋"/>
        </w:rPr>
        <w:t>万元相比，完成年初预算的</w:t>
      </w:r>
      <w:r>
        <w:rPr>
          <w:rFonts w:ascii="仿宋" w:eastAsia="仿宋" w:hAnsi="仿宋" w:cs="仿宋"/>
        </w:rPr>
        <w:t>131.22%</w:t>
      </w:r>
      <w:r>
        <w:rPr>
          <w:rFonts w:ascii="仿宋" w:eastAsia="仿宋" w:hAnsi="仿宋" w:cs="仿宋"/>
        </w:rPr>
        <w:t>。其中：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（一）科学技术支出（类）</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基础研究（款）科技人才队伍建设（项）。年初预算</w:t>
      </w:r>
      <w:r>
        <w:rPr>
          <w:rFonts w:ascii="仿宋" w:eastAsia="仿宋" w:hAnsi="仿宋" w:cs="仿宋"/>
        </w:rPr>
        <w:t>0</w:t>
      </w:r>
      <w:r>
        <w:rPr>
          <w:rFonts w:ascii="仿宋" w:eastAsia="仿宋" w:hAnsi="仿宋" w:cs="仿宋"/>
        </w:rPr>
        <w:t>万元，支出决算</w:t>
      </w:r>
      <w:r>
        <w:rPr>
          <w:rFonts w:ascii="仿宋" w:eastAsia="仿宋" w:hAnsi="仿宋" w:cs="仿宋"/>
        </w:rPr>
        <w:t>1,185.83</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w:t>
      </w:r>
      <w:r>
        <w:rPr>
          <w:rFonts w:ascii="仿宋" w:eastAsia="仿宋" w:hAnsi="仿宋" w:cs="仿宋"/>
        </w:rPr>
        <w:t>率）决算数与年初预算数的差异原因：年初预算中不包含市级专项：紫金山英才计划</w:t>
      </w:r>
      <w:r>
        <w:rPr>
          <w:rFonts w:ascii="仿宋" w:eastAsia="仿宋" w:hAnsi="仿宋" w:cs="仿宋"/>
        </w:rPr>
        <w:t>——</w:t>
      </w:r>
      <w:r>
        <w:rPr>
          <w:rFonts w:ascii="仿宋" w:eastAsia="仿宋" w:hAnsi="仿宋" w:cs="仿宋"/>
        </w:rPr>
        <w:t>留学人员择优资助</w:t>
      </w:r>
      <w:r>
        <w:rPr>
          <w:rFonts w:ascii="仿宋" w:eastAsia="仿宋" w:hAnsi="仿宋" w:cs="仿宋"/>
        </w:rPr>
        <w:t>360</w:t>
      </w:r>
      <w:r>
        <w:rPr>
          <w:rFonts w:ascii="仿宋" w:eastAsia="仿宋" w:hAnsi="仿宋" w:cs="仿宋"/>
        </w:rPr>
        <w:t>万元，紫金山英才计划</w:t>
      </w:r>
      <w:r>
        <w:rPr>
          <w:rFonts w:ascii="仿宋" w:eastAsia="仿宋" w:hAnsi="仿宋" w:cs="仿宋"/>
        </w:rPr>
        <w:t>——</w:t>
      </w:r>
      <w:r>
        <w:rPr>
          <w:rFonts w:ascii="仿宋" w:eastAsia="仿宋" w:hAnsi="仿宋" w:cs="仿宋"/>
        </w:rPr>
        <w:t>留学人员专项</w:t>
      </w:r>
      <w:r>
        <w:rPr>
          <w:rFonts w:ascii="仿宋" w:eastAsia="仿宋" w:hAnsi="仿宋" w:cs="仿宋"/>
        </w:rPr>
        <w:t>141.46</w:t>
      </w:r>
      <w:r>
        <w:rPr>
          <w:rFonts w:ascii="仿宋" w:eastAsia="仿宋" w:hAnsi="仿宋" w:cs="仿宋"/>
        </w:rPr>
        <w:t>万元，紫金山英才计划</w:t>
      </w:r>
      <w:r>
        <w:rPr>
          <w:rFonts w:ascii="仿宋" w:eastAsia="仿宋" w:hAnsi="仿宋" w:cs="仿宋"/>
        </w:rPr>
        <w:t>——</w:t>
      </w:r>
      <w:r>
        <w:rPr>
          <w:rFonts w:ascii="仿宋" w:eastAsia="仿宋" w:hAnsi="仿宋" w:cs="仿宋"/>
        </w:rPr>
        <w:t>博士后人才引进</w:t>
      </w:r>
      <w:r>
        <w:rPr>
          <w:rFonts w:ascii="仿宋" w:eastAsia="仿宋" w:hAnsi="仿宋" w:cs="仿宋"/>
        </w:rPr>
        <w:t>550</w:t>
      </w:r>
      <w:r>
        <w:rPr>
          <w:rFonts w:ascii="仿宋" w:eastAsia="仿宋" w:hAnsi="仿宋" w:cs="仿宋"/>
        </w:rPr>
        <w:t>万元，博士后创新创业大赛</w:t>
      </w:r>
      <w:r>
        <w:rPr>
          <w:rFonts w:ascii="仿宋" w:eastAsia="仿宋" w:hAnsi="仿宋" w:cs="仿宋"/>
        </w:rPr>
        <w:t>134.37</w:t>
      </w:r>
      <w:r>
        <w:rPr>
          <w:rFonts w:ascii="仿宋" w:eastAsia="仿宋" w:hAnsi="仿宋" w:cs="仿宋"/>
        </w:rPr>
        <w:t>万元，决算中包含。</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人力资源和社会保障管理事务（款）行政运行（项）。年初预算</w:t>
      </w:r>
      <w:r>
        <w:rPr>
          <w:rFonts w:ascii="仿宋" w:eastAsia="仿宋" w:hAnsi="仿宋" w:cs="仿宋"/>
        </w:rPr>
        <w:t>3,442.96</w:t>
      </w:r>
      <w:r>
        <w:rPr>
          <w:rFonts w:ascii="仿宋" w:eastAsia="仿宋" w:hAnsi="仿宋" w:cs="仿宋"/>
        </w:rPr>
        <w:t>万元，支出决算</w:t>
      </w:r>
      <w:r>
        <w:rPr>
          <w:rFonts w:ascii="仿宋" w:eastAsia="仿宋" w:hAnsi="仿宋" w:cs="仿宋"/>
        </w:rPr>
        <w:t>3,453.31</w:t>
      </w:r>
      <w:r>
        <w:rPr>
          <w:rFonts w:ascii="仿宋" w:eastAsia="仿宋" w:hAnsi="仿宋" w:cs="仿宋"/>
        </w:rPr>
        <w:t>万元，完成年初预算的</w:t>
      </w:r>
      <w:r>
        <w:rPr>
          <w:rFonts w:ascii="仿宋" w:eastAsia="仿宋" w:hAnsi="仿宋" w:cs="仿宋"/>
        </w:rPr>
        <w:t>100.3%</w:t>
      </w:r>
      <w:r>
        <w:rPr>
          <w:rFonts w:ascii="仿宋" w:eastAsia="仿宋" w:hAnsi="仿宋" w:cs="仿宋"/>
        </w:rPr>
        <w:t>。决算数与年初预算数的差异原因：政策性增人增资。</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人力资源和社会保障管理事务（款）一般行政</w:t>
      </w:r>
      <w:r>
        <w:rPr>
          <w:rFonts w:ascii="仿宋" w:eastAsia="仿宋" w:hAnsi="仿宋" w:cs="仿宋"/>
        </w:rPr>
        <w:t>管理事务（项）。年初预算</w:t>
      </w:r>
      <w:r>
        <w:rPr>
          <w:rFonts w:ascii="仿宋" w:eastAsia="仿宋" w:hAnsi="仿宋" w:cs="仿宋"/>
        </w:rPr>
        <w:t>1,625.22</w:t>
      </w:r>
      <w:r>
        <w:rPr>
          <w:rFonts w:ascii="仿宋" w:eastAsia="仿宋" w:hAnsi="仿宋" w:cs="仿宋"/>
        </w:rPr>
        <w:t>万元，支出决算</w:t>
      </w:r>
      <w:r>
        <w:rPr>
          <w:rFonts w:ascii="仿宋" w:eastAsia="仿宋" w:hAnsi="仿宋" w:cs="仿宋"/>
        </w:rPr>
        <w:t>1,262.37</w:t>
      </w:r>
      <w:r>
        <w:rPr>
          <w:rFonts w:ascii="仿宋" w:eastAsia="仿宋" w:hAnsi="仿宋" w:cs="仿宋"/>
        </w:rPr>
        <w:t>万元，完成年初预算的</w:t>
      </w:r>
      <w:r>
        <w:rPr>
          <w:rFonts w:ascii="仿宋" w:eastAsia="仿宋" w:hAnsi="仿宋" w:cs="仿宋"/>
        </w:rPr>
        <w:t>77.67%</w:t>
      </w:r>
      <w:r>
        <w:rPr>
          <w:rFonts w:ascii="仿宋" w:eastAsia="仿宋" w:hAnsi="仿宋" w:cs="仿宋"/>
        </w:rPr>
        <w:t>。决算数与年初预算数的差异原因：年中按照财政要求压减项目支出。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人力资源和社会保障管理事务（款）其他人力资源和社会保障管理事务支出（项）。年初预算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56.22</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万元，无法计算完成比率）决算数与年初预算数的差异原因：年中追加：信创工程第二十批经费</w:t>
      </w:r>
      <w:r>
        <w:rPr>
          <w:rFonts w:ascii="仿宋" w:eastAsia="仿宋" w:hAnsi="仿宋" w:cs="仿宋"/>
        </w:rPr>
        <w:t>41.99</w:t>
      </w:r>
      <w:r>
        <w:rPr>
          <w:rFonts w:ascii="仿宋" w:eastAsia="仿宋" w:hAnsi="仿宋" w:cs="仿宋"/>
        </w:rPr>
        <w:t>万元；三笔因公出国经费支出，分别为人社局刘莅、杨欢赴新西兰、日本团</w:t>
      </w:r>
      <w:r>
        <w:rPr>
          <w:rFonts w:ascii="仿宋" w:eastAsia="仿宋" w:hAnsi="仿宋" w:cs="仿宋"/>
        </w:rPr>
        <w:t>7.92</w:t>
      </w:r>
      <w:r>
        <w:rPr>
          <w:rFonts w:ascii="仿宋" w:eastAsia="仿宋" w:hAnsi="仿宋" w:cs="仿宋"/>
        </w:rPr>
        <w:t>万元，郁永春参加省厅赴英法团</w:t>
      </w:r>
      <w:r>
        <w:rPr>
          <w:rFonts w:ascii="仿宋" w:eastAsia="仿宋" w:hAnsi="仿宋" w:cs="仿宋"/>
        </w:rPr>
        <w:t>3.59</w:t>
      </w:r>
      <w:r>
        <w:rPr>
          <w:rFonts w:ascii="仿宋" w:eastAsia="仿宋" w:hAnsi="仿宋" w:cs="仿宋"/>
        </w:rPr>
        <w:lastRenderedPageBreak/>
        <w:t>万元，吴</w:t>
      </w:r>
      <w:r>
        <w:rPr>
          <w:rFonts w:ascii="仿宋" w:eastAsia="仿宋" w:hAnsi="仿宋" w:cs="仿宋"/>
        </w:rPr>
        <w:t>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2.72</w:t>
      </w:r>
      <w:r>
        <w:rPr>
          <w:rFonts w:ascii="仿宋" w:eastAsia="仿宋" w:hAnsi="仿宋" w:cs="仿宋"/>
        </w:rPr>
        <w:t>万元。</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行政事业单位养老支出（款）行政单位离退休（项）。年初预算</w:t>
      </w:r>
      <w:r>
        <w:rPr>
          <w:rFonts w:ascii="仿宋" w:eastAsia="仿宋" w:hAnsi="仿宋" w:cs="仿宋"/>
        </w:rPr>
        <w:t>558.75</w:t>
      </w:r>
      <w:r>
        <w:rPr>
          <w:rFonts w:ascii="仿宋" w:eastAsia="仿宋" w:hAnsi="仿宋" w:cs="仿宋"/>
        </w:rPr>
        <w:t>万元，支出决算</w:t>
      </w:r>
      <w:r>
        <w:rPr>
          <w:rFonts w:ascii="仿宋" w:eastAsia="仿宋" w:hAnsi="仿宋" w:cs="仿宋"/>
        </w:rPr>
        <w:t>558.75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w:t>
      </w:r>
      <w:r>
        <w:rPr>
          <w:rFonts w:ascii="仿宋" w:eastAsia="仿宋" w:hAnsi="仿宋" w:cs="仿宋"/>
        </w:rPr>
        <w:t>行政事业单位养老支出（款）机关事业单位基本养老保险缴费支出（项）。年初预算</w:t>
      </w:r>
      <w:r>
        <w:rPr>
          <w:rFonts w:ascii="仿宋" w:eastAsia="仿宋" w:hAnsi="仿宋" w:cs="仿宋"/>
        </w:rPr>
        <w:t>390.96</w:t>
      </w:r>
      <w:r>
        <w:rPr>
          <w:rFonts w:ascii="仿宋" w:eastAsia="仿宋" w:hAnsi="仿宋" w:cs="仿宋"/>
        </w:rPr>
        <w:t>万元，支出决算</w:t>
      </w:r>
      <w:r>
        <w:rPr>
          <w:rFonts w:ascii="仿宋" w:eastAsia="仿宋" w:hAnsi="仿宋" w:cs="仿宋"/>
        </w:rPr>
        <w:t>390.96</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w:t>
      </w:r>
      <w:r>
        <w:rPr>
          <w:rFonts w:ascii="仿宋" w:eastAsia="仿宋" w:hAnsi="仿宋" w:cs="仿宋"/>
        </w:rPr>
        <w:t>行政事业单位养老支出（款）机关事业单位职业年金缴费支出（项）。年初预算</w:t>
      </w:r>
      <w:r>
        <w:rPr>
          <w:rFonts w:ascii="仿宋" w:eastAsia="仿宋" w:hAnsi="仿宋" w:cs="仿宋"/>
        </w:rPr>
        <w:t>195.48</w:t>
      </w:r>
      <w:r>
        <w:rPr>
          <w:rFonts w:ascii="仿宋" w:eastAsia="仿宋" w:hAnsi="仿宋" w:cs="仿宋"/>
        </w:rPr>
        <w:t>万元，支出决算</w:t>
      </w:r>
      <w:r>
        <w:rPr>
          <w:rFonts w:ascii="仿宋" w:eastAsia="仿宋" w:hAnsi="仿宋" w:cs="仿宋"/>
        </w:rPr>
        <w:t>195.48</w:t>
      </w:r>
      <w:r>
        <w:rPr>
          <w:rFonts w:ascii="仿宋" w:eastAsia="仿宋" w:hAnsi="仿宋" w:cs="仿宋"/>
        </w:rPr>
        <w:t>万元，完成年初预算</w:t>
      </w:r>
      <w:r>
        <w:rPr>
          <w:rFonts w:ascii="仿宋" w:eastAsia="仿宋" w:hAnsi="仿宋" w:cs="仿宋"/>
        </w:rPr>
        <w:t>的</w:t>
      </w:r>
      <w:r>
        <w:rPr>
          <w:rFonts w:ascii="仿宋" w:eastAsia="仿宋" w:hAnsi="仿宋" w:cs="仿宋"/>
        </w:rPr>
        <w:t>100%</w:t>
      </w:r>
      <w:r>
        <w:rPr>
          <w:rFonts w:ascii="仿宋" w:eastAsia="仿宋" w:hAnsi="仿宋" w:cs="仿宋"/>
        </w:rPr>
        <w:t>。决算数与年初预算数相同。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w:t>
      </w:r>
      <w:r>
        <w:rPr>
          <w:rFonts w:ascii="仿宋" w:eastAsia="仿宋" w:hAnsi="仿宋" w:cs="仿宋"/>
        </w:rPr>
        <w:t>就业补助（款）高技能人才培养补助（项）。年初预算</w:t>
      </w:r>
      <w:r>
        <w:rPr>
          <w:rFonts w:ascii="仿宋" w:eastAsia="仿宋" w:hAnsi="仿宋" w:cs="仿宋"/>
        </w:rPr>
        <w:t>0</w:t>
      </w:r>
      <w:r>
        <w:rPr>
          <w:rFonts w:ascii="仿宋" w:eastAsia="仿宋" w:hAnsi="仿宋" w:cs="仿宋"/>
        </w:rPr>
        <w:t>万元，支出决算</w:t>
      </w:r>
      <w:r>
        <w:rPr>
          <w:rFonts w:ascii="仿宋" w:eastAsia="仿宋" w:hAnsi="仿宋" w:cs="仿宋"/>
        </w:rPr>
        <w:t>541.84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万元，无法计算完成比率）决算数与年初预算数的差异原因：年初预算中不包含市级专项：高级技师岗位技能提升培训费</w:t>
      </w:r>
      <w:r>
        <w:rPr>
          <w:rFonts w:ascii="仿宋" w:eastAsia="仿宋" w:hAnsi="仿宋" w:cs="仿宋"/>
        </w:rPr>
        <w:t>16</w:t>
      </w:r>
      <w:r>
        <w:rPr>
          <w:rFonts w:ascii="仿宋" w:eastAsia="仿宋" w:hAnsi="仿宋" w:cs="仿宋"/>
        </w:rPr>
        <w:t>万元，高技能人才培养补助</w:t>
      </w:r>
      <w:r>
        <w:rPr>
          <w:rFonts w:ascii="仿宋" w:eastAsia="仿宋" w:hAnsi="仿宋" w:cs="仿宋"/>
        </w:rPr>
        <w:t>391.46</w:t>
      </w:r>
      <w:r>
        <w:rPr>
          <w:rFonts w:ascii="仿宋" w:eastAsia="仿宋" w:hAnsi="仿宋" w:cs="仿宋"/>
        </w:rPr>
        <w:t>万元（乡土人才建设</w:t>
      </w:r>
      <w:r>
        <w:rPr>
          <w:rFonts w:ascii="仿宋" w:eastAsia="仿宋" w:hAnsi="仿宋" w:cs="仿宋"/>
        </w:rPr>
        <w:t>56.17</w:t>
      </w:r>
      <w:r>
        <w:rPr>
          <w:rFonts w:ascii="仿宋" w:eastAsia="仿宋" w:hAnsi="仿宋" w:cs="仿宋"/>
        </w:rPr>
        <w:t>万元、高技能人才研修班</w:t>
      </w:r>
      <w:r>
        <w:rPr>
          <w:rFonts w:ascii="仿宋" w:eastAsia="仿宋" w:hAnsi="仿宋" w:cs="仿宋"/>
        </w:rPr>
        <w:t>50</w:t>
      </w:r>
      <w:r>
        <w:rPr>
          <w:rFonts w:ascii="仿宋" w:eastAsia="仿宋" w:hAnsi="仿宋" w:cs="仿宋"/>
        </w:rPr>
        <w:t>万元、高技能人才重点建设项目</w:t>
      </w:r>
      <w:r>
        <w:rPr>
          <w:rFonts w:ascii="仿宋" w:eastAsia="仿宋" w:hAnsi="仿宋" w:cs="仿宋"/>
        </w:rPr>
        <w:t>150</w:t>
      </w:r>
      <w:r>
        <w:rPr>
          <w:rFonts w:ascii="仿宋" w:eastAsia="仿宋" w:hAnsi="仿宋" w:cs="仿宋"/>
        </w:rPr>
        <w:t>万元、技能大师工作室</w:t>
      </w:r>
      <w:r>
        <w:rPr>
          <w:rFonts w:ascii="仿宋" w:eastAsia="仿宋" w:hAnsi="仿宋" w:cs="仿宋"/>
        </w:rPr>
        <w:t>56</w:t>
      </w:r>
      <w:r>
        <w:rPr>
          <w:rFonts w:ascii="仿宋" w:eastAsia="仿宋" w:hAnsi="仿宋" w:cs="仿宋"/>
        </w:rPr>
        <w:t>万元、乡土人才建设</w:t>
      </w:r>
      <w:r>
        <w:rPr>
          <w:rFonts w:ascii="仿宋" w:eastAsia="仿宋" w:hAnsi="仿宋" w:cs="仿宋"/>
        </w:rPr>
        <w:t>40</w:t>
      </w:r>
      <w:r>
        <w:rPr>
          <w:rFonts w:ascii="仿宋" w:eastAsia="仿宋" w:hAnsi="仿宋" w:cs="仿宋"/>
        </w:rPr>
        <w:t>万元、职业技能竞赛</w:t>
      </w:r>
      <w:r>
        <w:rPr>
          <w:rFonts w:ascii="仿宋" w:eastAsia="仿宋" w:hAnsi="仿宋" w:cs="仿宋"/>
        </w:rPr>
        <w:t>39.29</w:t>
      </w:r>
      <w:r>
        <w:rPr>
          <w:rFonts w:ascii="仿宋" w:eastAsia="仿宋" w:hAnsi="仿宋" w:cs="仿宋"/>
        </w:rPr>
        <w:t>万元），就业补助资金</w:t>
      </w:r>
      <w:r>
        <w:rPr>
          <w:rFonts w:ascii="仿宋" w:eastAsia="仿宋" w:hAnsi="仿宋" w:cs="仿宋"/>
        </w:rPr>
        <w:t>——</w:t>
      </w:r>
      <w:r>
        <w:rPr>
          <w:rFonts w:ascii="仿宋" w:eastAsia="仿宋" w:hAnsi="仿宋" w:cs="仿宋"/>
        </w:rPr>
        <w:t>高技能人才培养补助</w:t>
      </w:r>
      <w:r>
        <w:rPr>
          <w:rFonts w:ascii="仿宋" w:eastAsia="仿宋" w:hAnsi="仿宋" w:cs="仿宋"/>
        </w:rPr>
        <w:t>134.39</w:t>
      </w:r>
      <w:r>
        <w:rPr>
          <w:rFonts w:ascii="仿宋" w:eastAsia="仿宋" w:hAnsi="仿宋" w:cs="仿宋"/>
        </w:rPr>
        <w:t>万元，决算</w:t>
      </w:r>
      <w:r>
        <w:rPr>
          <w:rFonts w:ascii="仿宋" w:eastAsia="仿宋" w:hAnsi="仿宋" w:cs="仿宋"/>
        </w:rPr>
        <w:t>中包含。</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w:t>
      </w:r>
      <w:r>
        <w:rPr>
          <w:rFonts w:ascii="仿宋" w:eastAsia="仿宋" w:hAnsi="仿宋" w:cs="仿宋"/>
        </w:rPr>
        <w:t>就业补助（款）其他就业补助支出（项）。年初预算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760.88</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w:t>
      </w:r>
      <w:r>
        <w:rPr>
          <w:rFonts w:ascii="仿宋" w:eastAsia="仿宋" w:hAnsi="仿宋" w:cs="仿宋"/>
        </w:rPr>
        <w:lastRenderedPageBreak/>
        <w:t>算完成比率）决算数与年初预算数的差异原因：年初预算中不包含市级专项：就业补助资金（公共就业服务能力提升示范项目）</w:t>
      </w:r>
      <w:r>
        <w:rPr>
          <w:rFonts w:ascii="仿宋" w:eastAsia="仿宋" w:hAnsi="仿宋" w:cs="仿宋"/>
        </w:rPr>
        <w:t>400</w:t>
      </w:r>
      <w:r>
        <w:rPr>
          <w:rFonts w:ascii="仿宋" w:eastAsia="仿宋" w:hAnsi="仿宋" w:cs="仿宋"/>
        </w:rPr>
        <w:t>万元，创业载体和产业园建设</w:t>
      </w:r>
      <w:r>
        <w:rPr>
          <w:rFonts w:ascii="仿宋" w:eastAsia="仿宋" w:hAnsi="仿宋" w:cs="仿宋"/>
        </w:rPr>
        <w:t>——</w:t>
      </w:r>
      <w:r>
        <w:rPr>
          <w:rFonts w:ascii="仿宋" w:eastAsia="仿宋" w:hAnsi="仿宋" w:cs="仿宋"/>
        </w:rPr>
        <w:t>人力资源服务业发展资金</w:t>
      </w:r>
      <w:r>
        <w:rPr>
          <w:rFonts w:ascii="仿宋" w:eastAsia="仿宋" w:hAnsi="仿宋" w:cs="仿宋"/>
        </w:rPr>
        <w:t>113.73</w:t>
      </w:r>
      <w:r>
        <w:rPr>
          <w:rFonts w:ascii="仿宋" w:eastAsia="仿宋" w:hAnsi="仿宋" w:cs="仿宋"/>
        </w:rPr>
        <w:t>万元，就业创业扶持</w:t>
      </w:r>
      <w:r>
        <w:rPr>
          <w:rFonts w:ascii="仿宋" w:eastAsia="仿宋" w:hAnsi="仿宋" w:cs="仿宋"/>
        </w:rPr>
        <w:t>——</w:t>
      </w:r>
      <w:r>
        <w:rPr>
          <w:rFonts w:ascii="仿宋" w:eastAsia="仿宋" w:hAnsi="仿宋" w:cs="仿宋"/>
        </w:rPr>
        <w:t>海归人员创业辅导</w:t>
      </w:r>
      <w:r>
        <w:rPr>
          <w:rFonts w:ascii="仿宋" w:eastAsia="仿宋" w:hAnsi="仿宋" w:cs="仿宋"/>
        </w:rPr>
        <w:t>47.93</w:t>
      </w:r>
      <w:r>
        <w:rPr>
          <w:rFonts w:ascii="仿宋" w:eastAsia="仿宋" w:hAnsi="仿宋" w:cs="仿宋"/>
        </w:rPr>
        <w:t>万元，就业创业扶持</w:t>
      </w:r>
      <w:r>
        <w:rPr>
          <w:rFonts w:ascii="仿宋" w:eastAsia="仿宋" w:hAnsi="仿宋" w:cs="仿宋"/>
        </w:rPr>
        <w:t>——</w:t>
      </w:r>
      <w:r>
        <w:rPr>
          <w:rFonts w:ascii="仿宋" w:eastAsia="仿宋" w:hAnsi="仿宋" w:cs="仿宋"/>
        </w:rPr>
        <w:t>海外人才创业大赛</w:t>
      </w:r>
      <w:r>
        <w:rPr>
          <w:rFonts w:ascii="仿宋" w:eastAsia="仿宋" w:hAnsi="仿宋" w:cs="仿宋"/>
        </w:rPr>
        <w:t>199.22</w:t>
      </w:r>
      <w:r>
        <w:rPr>
          <w:rFonts w:ascii="仿宋" w:eastAsia="仿宋" w:hAnsi="仿宋" w:cs="仿宋"/>
        </w:rPr>
        <w:t>万元，决算中包含。</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w:t>
      </w:r>
      <w:r>
        <w:rPr>
          <w:rFonts w:ascii="仿宋" w:eastAsia="仿宋" w:hAnsi="仿宋" w:cs="仿宋"/>
        </w:rPr>
        <w:t>其他生活救助（款）其他城市生活救助（项）。年初预算</w:t>
      </w:r>
      <w:r>
        <w:rPr>
          <w:rFonts w:ascii="仿宋" w:eastAsia="仿宋" w:hAnsi="仿宋" w:cs="仿宋"/>
        </w:rPr>
        <w:t>0</w:t>
      </w:r>
      <w:r>
        <w:rPr>
          <w:rFonts w:ascii="仿宋" w:eastAsia="仿宋" w:hAnsi="仿宋" w:cs="仿宋"/>
        </w:rPr>
        <w:t>万元，支出决算</w:t>
      </w:r>
      <w:r>
        <w:rPr>
          <w:rFonts w:ascii="仿宋" w:eastAsia="仿宋" w:hAnsi="仿宋" w:cs="仿宋"/>
        </w:rPr>
        <w:t>291.46</w:t>
      </w:r>
      <w:r>
        <w:rPr>
          <w:rFonts w:ascii="仿宋" w:eastAsia="仿宋" w:hAnsi="仿宋" w:cs="仿宋"/>
        </w:rPr>
        <w:t>万元，（</w:t>
      </w:r>
      <w:r>
        <w:rPr>
          <w:rFonts w:ascii="仿宋" w:eastAsia="仿宋" w:hAnsi="仿宋" w:cs="仿宋"/>
        </w:rPr>
        <w:t>年初预算数为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w:t>
      </w:r>
      <w:r>
        <w:rPr>
          <w:rFonts w:ascii="仿宋" w:eastAsia="仿宋" w:hAnsi="仿宋" w:cs="仿宋"/>
        </w:rPr>
        <w:t>2024</w:t>
      </w:r>
      <w:r>
        <w:rPr>
          <w:rFonts w:ascii="仿宋" w:eastAsia="仿宋" w:hAnsi="仿宋" w:cs="仿宋"/>
        </w:rPr>
        <w:t>年元旦春节慰问困难企业、困难职工及困难职工（家庭）</w:t>
      </w:r>
      <w:r>
        <w:rPr>
          <w:rFonts w:ascii="仿宋" w:eastAsia="仿宋" w:hAnsi="仿宋" w:cs="仿宋"/>
        </w:rPr>
        <w:t>291.64</w:t>
      </w:r>
      <w:r>
        <w:rPr>
          <w:rFonts w:ascii="仿宋" w:eastAsia="仿宋" w:hAnsi="仿宋" w:cs="仿宋"/>
        </w:rPr>
        <w:t>万元，决算中包含。</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10.</w:t>
      </w:r>
      <w:r>
        <w:rPr>
          <w:rFonts w:ascii="仿宋" w:eastAsia="仿宋" w:hAnsi="仿宋" w:cs="仿宋"/>
        </w:rPr>
        <w:t>其他社会保障和就业支出（款）其他社会保障和就业支出（项）。年初预算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162.5</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万元，无法计算完成比率）决算数与年初预算数的差异原因：年初预算中不包含市级专项：就业补助资金</w:t>
      </w:r>
      <w:r>
        <w:rPr>
          <w:rFonts w:ascii="仿宋" w:eastAsia="仿宋" w:hAnsi="仿宋" w:cs="仿宋"/>
        </w:rPr>
        <w:t>——</w:t>
      </w:r>
      <w:r>
        <w:rPr>
          <w:rFonts w:ascii="仿宋" w:eastAsia="仿宋" w:hAnsi="仿宋" w:cs="仿宋"/>
        </w:rPr>
        <w:t>高技能人才培养补助</w:t>
      </w:r>
      <w:r>
        <w:rPr>
          <w:rFonts w:ascii="仿宋" w:eastAsia="仿宋" w:hAnsi="仿宋" w:cs="仿宋"/>
        </w:rPr>
        <w:t>18.5</w:t>
      </w:r>
      <w:r>
        <w:rPr>
          <w:rFonts w:ascii="仿宋" w:eastAsia="仿宋" w:hAnsi="仿宋" w:cs="仿宋"/>
        </w:rPr>
        <w:t>万元，南京市有突出贡献中青年专家奖金</w:t>
      </w:r>
      <w:r>
        <w:rPr>
          <w:rFonts w:ascii="仿宋" w:eastAsia="仿宋" w:hAnsi="仿宋" w:cs="仿宋"/>
        </w:rPr>
        <w:t>40</w:t>
      </w:r>
      <w:r>
        <w:rPr>
          <w:rFonts w:ascii="仿宋" w:eastAsia="仿宋" w:hAnsi="仿宋" w:cs="仿宋"/>
        </w:rPr>
        <w:t>万元，</w:t>
      </w:r>
      <w:r>
        <w:rPr>
          <w:rFonts w:ascii="仿宋" w:eastAsia="仿宋" w:hAnsi="仿宋" w:cs="仿宋"/>
        </w:rPr>
        <w:t>2023</w:t>
      </w:r>
      <w:r>
        <w:rPr>
          <w:rFonts w:ascii="仿宋" w:eastAsia="仿宋" w:hAnsi="仿宋" w:cs="仿宋"/>
        </w:rPr>
        <w:t>年市级表彰先进个人奖励经费</w:t>
      </w:r>
      <w:r>
        <w:rPr>
          <w:rFonts w:ascii="仿宋" w:eastAsia="仿宋" w:hAnsi="仿宋" w:cs="仿宋"/>
        </w:rPr>
        <w:t>104</w:t>
      </w:r>
      <w:r>
        <w:rPr>
          <w:rFonts w:ascii="仿宋" w:eastAsia="仿宋" w:hAnsi="仿宋" w:cs="仿宋"/>
        </w:rPr>
        <w:t>万元，决算中包含。</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491.22</w:t>
      </w:r>
      <w:r>
        <w:rPr>
          <w:rFonts w:ascii="仿宋" w:eastAsia="仿宋" w:hAnsi="仿宋" w:cs="仿宋"/>
        </w:rPr>
        <w:t>万元，支出决算</w:t>
      </w:r>
      <w:r>
        <w:rPr>
          <w:rFonts w:ascii="仿宋" w:eastAsia="仿宋" w:hAnsi="仿宋" w:cs="仿宋"/>
        </w:rPr>
        <w:t>524.3</w:t>
      </w:r>
      <w:r>
        <w:rPr>
          <w:rFonts w:ascii="仿宋" w:eastAsia="仿宋" w:hAnsi="仿宋" w:cs="仿宋"/>
        </w:rPr>
        <w:t>万元，完成年初预算的</w:t>
      </w:r>
      <w:r>
        <w:rPr>
          <w:rFonts w:ascii="仿宋" w:eastAsia="仿宋" w:hAnsi="仿宋" w:cs="仿宋"/>
        </w:rPr>
        <w:t>106.73%</w:t>
      </w:r>
      <w:r>
        <w:rPr>
          <w:rFonts w:ascii="仿宋" w:eastAsia="仿宋" w:hAnsi="仿宋" w:cs="仿宋"/>
        </w:rPr>
        <w:t>。决算数与年初预算数的差异原因：住房公积金和住房</w:t>
      </w:r>
      <w:r>
        <w:rPr>
          <w:rFonts w:ascii="仿宋" w:eastAsia="仿宋" w:hAnsi="仿宋" w:cs="仿宋"/>
        </w:rPr>
        <w:lastRenderedPageBreak/>
        <w:t>补贴缴费基数调整。</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1,993.58</w:t>
      </w:r>
      <w:r>
        <w:rPr>
          <w:rFonts w:ascii="仿宋" w:eastAsia="仿宋" w:hAnsi="仿宋" w:cs="仿宋"/>
        </w:rPr>
        <w:t>万元，支出决算</w:t>
      </w:r>
      <w:r>
        <w:rPr>
          <w:rFonts w:ascii="仿宋" w:eastAsia="仿宋" w:hAnsi="仿宋" w:cs="仿宋"/>
        </w:rPr>
        <w:t>2,030.04</w:t>
      </w:r>
      <w:r>
        <w:rPr>
          <w:rFonts w:ascii="仿宋" w:eastAsia="仿宋" w:hAnsi="仿宋" w:cs="仿宋"/>
        </w:rPr>
        <w:t>万元，完成年初预算的</w:t>
      </w:r>
      <w:r>
        <w:rPr>
          <w:rFonts w:ascii="仿宋" w:eastAsia="仿宋" w:hAnsi="仿宋" w:cs="仿宋"/>
        </w:rPr>
        <w:t>101.83%</w:t>
      </w:r>
      <w:r>
        <w:rPr>
          <w:rFonts w:ascii="仿宋" w:eastAsia="仿宋" w:hAnsi="仿宋" w:cs="仿宋"/>
        </w:rPr>
        <w:t>。决算数与年初预算数的差异原因：住房公积金和住房补贴缴费基数调整。</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7,256.84</w:t>
      </w:r>
      <w:r>
        <w:rPr>
          <w:rFonts w:ascii="仿宋" w:eastAsia="仿宋" w:hAnsi="仿宋" w:cs="仿宋"/>
        </w:rPr>
        <w:t>万元</w:t>
      </w:r>
      <w:r>
        <w:rPr>
          <w:rFonts w:ascii="仿宋" w:eastAsia="仿宋" w:hAnsi="仿宋" w:cs="仿宋"/>
        </w:rPr>
        <w:t>，其中：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6,852.14</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离休费、退休费、生活补助、其他对个人和家庭的补助。</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404.7</w:t>
      </w:r>
      <w:r>
        <w:rPr>
          <w:rFonts w:ascii="楷体" w:eastAsia="楷体" w:hAnsi="楷体" w:cs="楷体"/>
        </w:rPr>
        <w:t>万元。</w:t>
      </w:r>
      <w:r>
        <w:rPr>
          <w:rFonts w:ascii="仿宋" w:eastAsia="仿宋" w:hAnsi="仿宋" w:cs="仿宋"/>
        </w:rPr>
        <w:t>主要包括：办公费、印刷费、电费、邮电费、差旅费、租赁费、会议费、培训费、公务接待费、工会经费、公务用车运行维护费、其他交通费用、其他商品和服务支出。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11,413.94</w:t>
      </w:r>
      <w:r>
        <w:rPr>
          <w:rFonts w:ascii="仿宋" w:eastAsia="仿宋" w:hAnsi="仿宋" w:cs="仿宋"/>
        </w:rPr>
        <w:t>万元。与上年相比，减少</w:t>
      </w:r>
      <w:r>
        <w:rPr>
          <w:rFonts w:ascii="仿宋" w:eastAsia="仿宋" w:hAnsi="仿宋" w:cs="仿宋"/>
        </w:rPr>
        <w:t>1,110.4</w:t>
      </w:r>
      <w:r>
        <w:rPr>
          <w:rFonts w:ascii="仿宋" w:eastAsia="仿宋" w:hAnsi="仿宋" w:cs="仿宋"/>
        </w:rPr>
        <w:t>万元，减少</w:t>
      </w:r>
      <w:r>
        <w:rPr>
          <w:rFonts w:ascii="仿宋" w:eastAsia="仿宋" w:hAnsi="仿宋" w:cs="仿宋"/>
        </w:rPr>
        <w:t>8.87%</w:t>
      </w:r>
      <w:r>
        <w:rPr>
          <w:rFonts w:ascii="仿宋" w:eastAsia="仿宋" w:hAnsi="仿宋" w:cs="仿宋"/>
        </w:rPr>
        <w:t>，变动原因：年中按照财政要求压减项目支出。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7,256.84</w:t>
      </w:r>
      <w:r>
        <w:rPr>
          <w:rFonts w:ascii="仿宋" w:eastAsia="仿宋" w:hAnsi="仿宋" w:cs="仿宋"/>
        </w:rPr>
        <w:lastRenderedPageBreak/>
        <w:t>万元，其中：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6,852.14</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离休费、退休费、生活补助、其他对个人和家庭的补助。</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404.7</w:t>
      </w:r>
      <w:r>
        <w:rPr>
          <w:rFonts w:ascii="楷体" w:eastAsia="楷体" w:hAnsi="楷体" w:cs="楷体"/>
        </w:rPr>
        <w:t>万元。</w:t>
      </w:r>
      <w:r>
        <w:rPr>
          <w:rFonts w:ascii="仿宋" w:eastAsia="仿宋" w:hAnsi="仿宋" w:cs="仿宋"/>
        </w:rPr>
        <w:t>主要包括：办公费、印刷费、电费、邮电费、差旅费、租赁费、会议费、培训费、公务接待费、工会经费、公务用车运行维护费、其他交通费用、其他商品和服务支出。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19.33</w:t>
      </w:r>
      <w:r>
        <w:rPr>
          <w:rFonts w:ascii="仿宋" w:eastAsia="仿宋" w:hAnsi="仿宋" w:cs="仿宋"/>
        </w:rPr>
        <w:t>万元（其中：一般公共预算支出</w:t>
      </w:r>
      <w:r>
        <w:rPr>
          <w:rFonts w:ascii="仿宋" w:eastAsia="仿宋" w:hAnsi="仿宋" w:cs="仿宋"/>
        </w:rPr>
        <w:t>19.33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13.63</w:t>
      </w:r>
      <w:r>
        <w:rPr>
          <w:rFonts w:ascii="仿宋" w:eastAsia="仿宋" w:hAnsi="仿宋" w:cs="仿宋"/>
        </w:rPr>
        <w:t>万元，变动原因：本年度发生三笔因公出国经费支出，分别为人社局刘莅、杨欢赴新西兰、日本团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要求压减公务接待费支出、培训费支出、会议费支出。其中，因公出国（境）费支出</w:t>
      </w:r>
      <w:r>
        <w:rPr>
          <w:rFonts w:ascii="仿宋" w:eastAsia="仿宋" w:hAnsi="仿宋" w:cs="仿宋"/>
        </w:rPr>
        <w:t>14.23</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73.62%</w:t>
      </w:r>
      <w:r>
        <w:rPr>
          <w:rFonts w:ascii="仿宋" w:eastAsia="仿宋" w:hAnsi="仿宋" w:cs="仿宋"/>
        </w:rPr>
        <w:t>；公务用车购置及</w:t>
      </w:r>
      <w:r>
        <w:rPr>
          <w:rFonts w:ascii="仿宋" w:eastAsia="仿宋" w:hAnsi="仿宋" w:cs="仿宋"/>
        </w:rPr>
        <w:lastRenderedPageBreak/>
        <w:t>运行维</w:t>
      </w:r>
      <w:r>
        <w:rPr>
          <w:rFonts w:ascii="仿宋" w:eastAsia="仿宋" w:hAnsi="仿宋" w:cs="仿宋"/>
        </w:rPr>
        <w:t>护费支出</w:t>
      </w:r>
      <w:r>
        <w:rPr>
          <w:rFonts w:ascii="仿宋" w:eastAsia="仿宋" w:hAnsi="仿宋" w:cs="仿宋"/>
        </w:rPr>
        <w:t>2.3</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11.9%</w:t>
      </w:r>
      <w:r>
        <w:rPr>
          <w:rFonts w:ascii="仿宋" w:eastAsia="仿宋" w:hAnsi="仿宋" w:cs="仿宋"/>
        </w:rPr>
        <w:t>；公务接待费支出</w:t>
      </w:r>
      <w:r>
        <w:rPr>
          <w:rFonts w:ascii="仿宋" w:eastAsia="仿宋" w:hAnsi="仿宋" w:cs="仿宋"/>
        </w:rPr>
        <w:t>2.8</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14.48%</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21.84</w:t>
      </w:r>
      <w:r>
        <w:rPr>
          <w:rFonts w:ascii="仿宋" w:eastAsia="仿宋" w:hAnsi="仿宋" w:cs="仿宋"/>
        </w:rPr>
        <w:t>万元（其中：一般公共预算支出</w:t>
      </w:r>
      <w:r>
        <w:rPr>
          <w:rFonts w:ascii="仿宋" w:eastAsia="仿宋" w:hAnsi="仿宋" w:cs="仿宋"/>
        </w:rPr>
        <w:t>21.84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万元）。决算数与预算数的差异原因：本年度发生三笔因公出国经费支出，分别为人社局刘莅、杨欢赴新西兰、日本团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要求压减公务接待费支出、培训费</w:t>
      </w:r>
      <w:r>
        <w:rPr>
          <w:rFonts w:ascii="仿宋" w:eastAsia="仿宋" w:hAnsi="仿宋" w:cs="仿宋"/>
        </w:rPr>
        <w:t>支出、会议费支出。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14.23</w:t>
      </w:r>
      <w:r>
        <w:rPr>
          <w:rFonts w:ascii="仿宋" w:eastAsia="仿宋" w:hAnsi="仿宋" w:cs="仿宋"/>
        </w:rPr>
        <w:t>万元（其中：一般公共预算支出</w:t>
      </w:r>
      <w:r>
        <w:rPr>
          <w:rFonts w:ascii="仿宋" w:eastAsia="仿宋" w:hAnsi="仿宋" w:cs="仿宋"/>
        </w:rPr>
        <w:t>14.23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14.23</w:t>
      </w:r>
      <w:r>
        <w:rPr>
          <w:rFonts w:ascii="仿宋" w:eastAsia="仿宋" w:hAnsi="仿宋" w:cs="仿宋"/>
        </w:rPr>
        <w:t>万元（其中：一般公共预算支出</w:t>
      </w:r>
      <w:r>
        <w:rPr>
          <w:rFonts w:ascii="仿宋" w:eastAsia="仿宋" w:hAnsi="仿宋" w:cs="仿宋"/>
        </w:rPr>
        <w:t>14.23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2</w:t>
      </w:r>
      <w:r>
        <w:rPr>
          <w:rFonts w:ascii="仿宋" w:eastAsia="仿宋" w:hAnsi="仿宋" w:cs="仿宋"/>
        </w:rPr>
        <w:t>个，累计</w:t>
      </w:r>
      <w:r>
        <w:rPr>
          <w:rFonts w:ascii="仿宋" w:eastAsia="仿宋" w:hAnsi="仿宋" w:cs="仿宋"/>
        </w:rPr>
        <w:t>3</w:t>
      </w:r>
      <w:r>
        <w:rPr>
          <w:rFonts w:ascii="仿宋" w:eastAsia="仿宋" w:hAnsi="仿宋" w:cs="仿宋"/>
        </w:rPr>
        <w:t>人次。开支内容：本年度发生三笔因公出国经费支出，分别为人社局刘莅、杨欢赴新西兰、日本团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3.17</w:t>
      </w:r>
      <w:r>
        <w:rPr>
          <w:rFonts w:ascii="仿宋" w:eastAsia="仿宋" w:hAnsi="仿宋" w:cs="仿宋"/>
        </w:rPr>
        <w:t>万元（其</w:t>
      </w:r>
      <w:r>
        <w:rPr>
          <w:rFonts w:ascii="仿宋" w:eastAsia="仿宋" w:hAnsi="仿宋" w:cs="仿宋"/>
        </w:rPr>
        <w:lastRenderedPageBreak/>
        <w:t>中：一般公共预算支出</w:t>
      </w:r>
      <w:r>
        <w:rPr>
          <w:rFonts w:ascii="仿宋" w:eastAsia="仿宋" w:hAnsi="仿宋" w:cs="仿宋"/>
        </w:rPr>
        <w:t>3.17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2.3</w:t>
      </w:r>
      <w:r>
        <w:rPr>
          <w:rFonts w:ascii="仿宋" w:eastAsia="仿宋" w:hAnsi="仿宋" w:cs="仿宋"/>
        </w:rPr>
        <w:t>万元（其中：一般公共预算支出</w:t>
      </w:r>
      <w:r>
        <w:rPr>
          <w:rFonts w:ascii="仿宋" w:eastAsia="仿宋" w:hAnsi="仿宋" w:cs="仿宋"/>
        </w:rPr>
        <w:t>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72.56%</w:t>
      </w:r>
      <w:r>
        <w:rPr>
          <w:rFonts w:ascii="仿宋" w:eastAsia="仿宋" w:hAnsi="仿宋" w:cs="仿宋"/>
        </w:rPr>
        <w:t>，决算数与预算数的差异原因：据实发生的加油卡充值、车辆维修等费用。其中：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w:t>
      </w:r>
      <w:r>
        <w:rPr>
          <w:rFonts w:ascii="仿宋" w:eastAsia="仿宋" w:hAnsi="仿宋" w:cs="仿宋"/>
        </w:rPr>
        <w:t>置公务用车</w:t>
      </w:r>
      <w:r>
        <w:rPr>
          <w:rFonts w:ascii="仿宋" w:eastAsia="仿宋" w:hAnsi="仿宋" w:cs="仿宋"/>
        </w:rPr>
        <w:t>0</w:t>
      </w:r>
      <w:r>
        <w:rPr>
          <w:rFonts w:ascii="仿宋" w:eastAsia="仿宋" w:hAnsi="仿宋" w:cs="仿宋"/>
        </w:rPr>
        <w:t>辆。</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2.3</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3</w:t>
      </w:r>
      <w:r>
        <w:rPr>
          <w:rFonts w:ascii="仿宋" w:eastAsia="仿宋" w:hAnsi="仿宋" w:cs="仿宋"/>
        </w:rPr>
        <w:t>辆。</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4.44</w:t>
      </w:r>
      <w:r>
        <w:rPr>
          <w:rFonts w:ascii="仿宋" w:eastAsia="仿宋" w:hAnsi="仿宋" w:cs="仿宋"/>
        </w:rPr>
        <w:t>万元（其中：一般公共预算支出</w:t>
      </w:r>
      <w:r>
        <w:rPr>
          <w:rFonts w:ascii="仿宋" w:eastAsia="仿宋" w:hAnsi="仿宋" w:cs="仿宋"/>
        </w:rPr>
        <w:t>4.44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2.8</w:t>
      </w:r>
      <w:r>
        <w:rPr>
          <w:rFonts w:ascii="仿宋" w:eastAsia="仿宋" w:hAnsi="仿宋" w:cs="仿宋"/>
        </w:rPr>
        <w:t>万元（其中：一般公共预算支出</w:t>
      </w:r>
      <w:r>
        <w:rPr>
          <w:rFonts w:ascii="仿宋" w:eastAsia="仿宋" w:hAnsi="仿宋" w:cs="仿宋"/>
        </w:rPr>
        <w:t>2.8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63.06%</w:t>
      </w:r>
      <w:r>
        <w:rPr>
          <w:rFonts w:ascii="仿宋" w:eastAsia="仿宋" w:hAnsi="仿宋" w:cs="仿宋"/>
        </w:rPr>
        <w:t>，决算数与</w:t>
      </w:r>
      <w:r>
        <w:rPr>
          <w:rFonts w:ascii="仿宋" w:eastAsia="仿宋" w:hAnsi="仿宋" w:cs="仿宋"/>
        </w:rPr>
        <w:t>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要求压减公务接待费支出。其中：国内公务接待支出</w:t>
      </w:r>
      <w:r>
        <w:rPr>
          <w:rFonts w:ascii="仿宋" w:eastAsia="仿宋" w:hAnsi="仿宋" w:cs="仿宋"/>
        </w:rPr>
        <w:t>2.8</w:t>
      </w:r>
      <w:r>
        <w:rPr>
          <w:rFonts w:ascii="仿宋" w:eastAsia="仿宋" w:hAnsi="仿宋" w:cs="仿宋"/>
        </w:rPr>
        <w:t>万元，接待</w:t>
      </w:r>
      <w:r>
        <w:rPr>
          <w:rFonts w:ascii="仿宋" w:eastAsia="仿宋" w:hAnsi="仿宋" w:cs="仿宋"/>
        </w:rPr>
        <w:t>17</w:t>
      </w:r>
      <w:r>
        <w:rPr>
          <w:rFonts w:ascii="仿宋" w:eastAsia="仿宋" w:hAnsi="仿宋" w:cs="仿宋"/>
        </w:rPr>
        <w:t>批次，</w:t>
      </w:r>
      <w:r>
        <w:rPr>
          <w:rFonts w:ascii="仿宋" w:eastAsia="仿宋" w:hAnsi="仿宋" w:cs="仿宋"/>
        </w:rPr>
        <w:t>185</w:t>
      </w:r>
      <w:r>
        <w:rPr>
          <w:rFonts w:ascii="仿宋" w:eastAsia="仿宋" w:hAnsi="仿宋" w:cs="仿宋"/>
        </w:rPr>
        <w:t>人次，开支内容：局办接待人社部基金监管局，北京市人社局，广东省人社厅，中国劳动保障报社，伊犁州人社局；人开处接待长春市人社局，呼和浩特市人社局，丽水市人社局；规财处接待</w:t>
      </w:r>
      <w:r>
        <w:rPr>
          <w:rFonts w:ascii="仿宋" w:eastAsia="仿宋" w:hAnsi="仿宋" w:cs="仿宋"/>
        </w:rPr>
        <w:lastRenderedPageBreak/>
        <w:t>扬州市人社局，人社部，滁州市人社局，马鞍山市人社局；工伤处接待广西壮族自治区人社厅，襄阳市人社局；就业处接待河南省人社厅；职建处接待人社部；专技处接待广州市人社局；国（境）外公务接待支出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w:t>
      </w:r>
      <w:r>
        <w:rPr>
          <w:rFonts w:ascii="仿宋" w:eastAsia="仿宋" w:hAnsi="仿宋" w:cs="仿宋"/>
          <w:b/>
        </w:rPr>
        <w:t>款会议费支出决算情况说明。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108</w:t>
      </w:r>
      <w:r>
        <w:rPr>
          <w:rFonts w:ascii="仿宋" w:eastAsia="仿宋" w:hAnsi="仿宋" w:cs="仿宋"/>
        </w:rPr>
        <w:t>万元（其中：一般公共预算支出</w:t>
      </w:r>
      <w:r>
        <w:rPr>
          <w:rFonts w:ascii="仿宋" w:eastAsia="仿宋" w:hAnsi="仿宋" w:cs="仿宋"/>
        </w:rPr>
        <w:t>108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89.94</w:t>
      </w:r>
      <w:r>
        <w:rPr>
          <w:rFonts w:ascii="仿宋" w:eastAsia="仿宋" w:hAnsi="仿宋" w:cs="仿宋"/>
        </w:rPr>
        <w:t>万元（其中：一般公共预算支出</w:t>
      </w:r>
      <w:r>
        <w:rPr>
          <w:rFonts w:ascii="仿宋" w:eastAsia="仿宋" w:hAnsi="仿宋" w:cs="仿宋"/>
        </w:rPr>
        <w:t>89.94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83.28%</w:t>
      </w:r>
      <w:r>
        <w:rPr>
          <w:rFonts w:ascii="仿宋" w:eastAsia="仿宋" w:hAnsi="仿宋" w:cs="仿宋"/>
        </w:rPr>
        <w:t>，决算数与预算数的差异原因：按照财政过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要求，利用局内部场所开展会议，压减会议费支出；按要求压减留交会经费。</w:t>
      </w:r>
      <w:r>
        <w:rPr>
          <w:rFonts w:ascii="仿宋" w:eastAsia="仿宋" w:hAnsi="仿宋" w:cs="仿宋"/>
        </w:rPr>
        <w:t>2024</w:t>
      </w:r>
      <w:r>
        <w:rPr>
          <w:rFonts w:ascii="仿宋" w:eastAsia="仿宋" w:hAnsi="仿宋" w:cs="仿宋"/>
        </w:rPr>
        <w:t>年度全年召开会议</w:t>
      </w:r>
      <w:r>
        <w:rPr>
          <w:rFonts w:ascii="仿宋" w:eastAsia="仿宋" w:hAnsi="仿宋" w:cs="仿宋"/>
        </w:rPr>
        <w:t>4</w:t>
      </w:r>
      <w:r>
        <w:rPr>
          <w:rFonts w:ascii="仿宋" w:eastAsia="仿宋" w:hAnsi="仿宋" w:cs="仿宋"/>
        </w:rPr>
        <w:t>个，参加会议</w:t>
      </w:r>
      <w:r>
        <w:rPr>
          <w:rFonts w:ascii="仿宋" w:eastAsia="仿宋" w:hAnsi="仿宋" w:cs="仿宋"/>
        </w:rPr>
        <w:t>2401</w:t>
      </w:r>
      <w:r>
        <w:rPr>
          <w:rFonts w:ascii="仿宋" w:eastAsia="仿宋" w:hAnsi="仿宋" w:cs="仿宋"/>
        </w:rPr>
        <w:t>人次，开支内容：</w:t>
      </w:r>
      <w:r>
        <w:rPr>
          <w:rFonts w:ascii="仿宋" w:eastAsia="仿宋" w:hAnsi="仿宋" w:cs="仿宋"/>
        </w:rPr>
        <w:t>2024</w:t>
      </w:r>
      <w:r>
        <w:rPr>
          <w:rFonts w:ascii="仿宋" w:eastAsia="仿宋" w:hAnsi="仿宋" w:cs="仿宋"/>
        </w:rPr>
        <w:t>年全市人社局工作</w:t>
      </w:r>
      <w:r>
        <w:rPr>
          <w:rFonts w:ascii="仿宋" w:eastAsia="仿宋" w:hAnsi="仿宋" w:cs="仿宋"/>
        </w:rPr>
        <w:t>会议、全市高校毕业生等青年就业创业工作推进会、干部工作会议、第</w:t>
      </w:r>
      <w:r>
        <w:rPr>
          <w:rFonts w:ascii="仿宋" w:eastAsia="仿宋" w:hAnsi="仿宋" w:cs="仿宋"/>
        </w:rPr>
        <w:t>16</w:t>
      </w:r>
      <w:r>
        <w:rPr>
          <w:rFonts w:ascii="仿宋" w:eastAsia="仿宋" w:hAnsi="仿宋" w:cs="仿宋"/>
        </w:rPr>
        <w:t>届留交会。</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111.64</w:t>
      </w:r>
      <w:r>
        <w:rPr>
          <w:rFonts w:ascii="仿宋" w:eastAsia="仿宋" w:hAnsi="仿宋" w:cs="仿宋"/>
        </w:rPr>
        <w:t>万元（其中：一般公共预算支出</w:t>
      </w:r>
      <w:r>
        <w:rPr>
          <w:rFonts w:ascii="仿宋" w:eastAsia="仿宋" w:hAnsi="仿宋" w:cs="仿宋"/>
        </w:rPr>
        <w:t>111.64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42.41</w:t>
      </w:r>
      <w:r>
        <w:rPr>
          <w:rFonts w:ascii="仿宋" w:eastAsia="仿宋" w:hAnsi="仿宋" w:cs="仿宋"/>
        </w:rPr>
        <w:t>万元（其中：一般公共预算支出</w:t>
      </w:r>
      <w:r>
        <w:rPr>
          <w:rFonts w:ascii="仿宋" w:eastAsia="仿宋" w:hAnsi="仿宋" w:cs="仿宋"/>
        </w:rPr>
        <w:t>42.41</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37.99%</w:t>
      </w:r>
      <w:r>
        <w:rPr>
          <w:rFonts w:ascii="仿宋" w:eastAsia="仿宋" w:hAnsi="仿宋" w:cs="仿宋"/>
        </w:rPr>
        <w:t>，决算数与预算数的差异原因：按照财政过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lastRenderedPageBreak/>
        <w:t>要求，利用局内部场所开展培训，压减培训费支出。</w:t>
      </w:r>
      <w:r>
        <w:rPr>
          <w:rFonts w:ascii="仿宋" w:eastAsia="仿宋" w:hAnsi="仿宋" w:cs="仿宋"/>
        </w:rPr>
        <w:t>202</w:t>
      </w:r>
      <w:r>
        <w:rPr>
          <w:rFonts w:ascii="仿宋" w:eastAsia="仿宋" w:hAnsi="仿宋" w:cs="仿宋"/>
        </w:rPr>
        <w:t>4</w:t>
      </w:r>
      <w:r>
        <w:rPr>
          <w:rFonts w:ascii="仿宋" w:eastAsia="仿宋" w:hAnsi="仿宋" w:cs="仿宋"/>
        </w:rPr>
        <w:t>年度全年组织培训</w:t>
      </w:r>
      <w:r>
        <w:rPr>
          <w:rFonts w:ascii="仿宋" w:eastAsia="仿宋" w:hAnsi="仿宋" w:cs="仿宋"/>
        </w:rPr>
        <w:t>20</w:t>
      </w:r>
      <w:r>
        <w:rPr>
          <w:rFonts w:ascii="仿宋" w:eastAsia="仿宋" w:hAnsi="仿宋" w:cs="仿宋"/>
        </w:rPr>
        <w:t>个，组织培训</w:t>
      </w:r>
      <w:r>
        <w:rPr>
          <w:rFonts w:ascii="仿宋" w:eastAsia="仿宋" w:hAnsi="仿宋" w:cs="仿宋"/>
        </w:rPr>
        <w:t>2284</w:t>
      </w:r>
      <w:r>
        <w:rPr>
          <w:rFonts w:ascii="仿宋" w:eastAsia="仿宋" w:hAnsi="仿宋" w:cs="仿宋"/>
        </w:rPr>
        <w:t>人次，开支内容：专技处南京市博士后业务培训活动，职称工作培训会；养老处特殊工种提前退休政策业务培训班；局办公室值班工作规范与能力提升专题培训；职建处全市技工院校安全管理培训班；机关党委新任党务干部能力提升培训班，基层党组织书记专题培训班，积极分子培训班，练兵比武参赛培训；人事处党纪学习教育专题学习辅导暨局党组理论学习中心组学习会，党组中心组专题学习暨</w:t>
      </w:r>
      <w:r>
        <w:rPr>
          <w:rFonts w:ascii="仿宋" w:eastAsia="仿宋" w:hAnsi="仿宋" w:cs="仿宋"/>
        </w:rPr>
        <w:t>“</w:t>
      </w:r>
      <w:r>
        <w:rPr>
          <w:rFonts w:ascii="仿宋" w:eastAsia="仿宋" w:hAnsi="仿宋" w:cs="仿宋"/>
        </w:rPr>
        <w:t>人社学思行</w:t>
      </w:r>
      <w:r>
        <w:rPr>
          <w:rFonts w:ascii="仿宋" w:eastAsia="仿宋" w:hAnsi="仿宋" w:cs="仿宋"/>
        </w:rPr>
        <w:t>”</w:t>
      </w:r>
      <w:r>
        <w:rPr>
          <w:rFonts w:ascii="仿宋" w:eastAsia="仿宋" w:hAnsi="仿宋" w:cs="仿宋"/>
        </w:rPr>
        <w:t>专题讲座，党组中心组专题学习</w:t>
      </w:r>
      <w:r>
        <w:rPr>
          <w:rFonts w:ascii="仿宋" w:eastAsia="仿宋" w:hAnsi="仿宋" w:cs="仿宋"/>
        </w:rPr>
        <w:t>“</w:t>
      </w:r>
      <w:r>
        <w:rPr>
          <w:rFonts w:ascii="仿宋" w:eastAsia="仿宋" w:hAnsi="仿宋" w:cs="仿宋"/>
        </w:rPr>
        <w:t>做好社会立法建设法治政府</w:t>
      </w:r>
      <w:r>
        <w:rPr>
          <w:rFonts w:ascii="仿宋" w:eastAsia="仿宋" w:hAnsi="仿宋" w:cs="仿宋"/>
        </w:rPr>
        <w:t>”</w:t>
      </w:r>
      <w:r>
        <w:rPr>
          <w:rFonts w:ascii="仿宋" w:eastAsia="仿宋" w:hAnsi="仿宋" w:cs="仿宋"/>
        </w:rPr>
        <w:t>专题讲座，学习贯彻党的二十届三中全会精神宣讲报告</w:t>
      </w:r>
      <w:r>
        <w:rPr>
          <w:rFonts w:ascii="仿宋" w:eastAsia="仿宋" w:hAnsi="仿宋" w:cs="仿宋"/>
        </w:rPr>
        <w:t>会；城居保处城乡居民养老保险业务培训班；工伤处工伤认定业务培训班；法规处信用分级分类监管和行政规范性文件法制审核业务培训；事管处事业单位人事管理业务培训班；工资处全市事业单位工资业务培训班；规财处局系统财务和内勤人员培训班、全市人社系统发展与统计培训班。</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十二、财政拨款机关运行</w:t>
      </w:r>
      <w:r>
        <w:rPr>
          <w:rFonts w:ascii="仿宋" w:eastAsia="仿宋" w:hAnsi="仿宋" w:cs="仿宋"/>
          <w:b/>
        </w:rPr>
        <w:t>经费支出决算情况说明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404.7</w:t>
      </w:r>
      <w:r>
        <w:rPr>
          <w:rFonts w:ascii="仿宋" w:eastAsia="仿宋" w:hAnsi="仿宋" w:cs="仿宋"/>
        </w:rPr>
        <w:t>万元（其中：一般公共预算支出</w:t>
      </w:r>
      <w:r>
        <w:rPr>
          <w:rFonts w:ascii="仿宋" w:eastAsia="仿宋" w:hAnsi="仿宋" w:cs="仿宋"/>
        </w:rPr>
        <w:t>404.7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10.6</w:t>
      </w:r>
      <w:r>
        <w:rPr>
          <w:rFonts w:ascii="仿宋" w:eastAsia="仿宋" w:hAnsi="仿宋" w:cs="仿宋"/>
        </w:rPr>
        <w:t>万元，减少</w:t>
      </w:r>
      <w:r>
        <w:rPr>
          <w:rFonts w:ascii="仿宋" w:eastAsia="仿宋" w:hAnsi="仿宋" w:cs="仿宋"/>
        </w:rPr>
        <w:t>2.55%</w:t>
      </w:r>
      <w:r>
        <w:rPr>
          <w:rFonts w:ascii="仿宋" w:eastAsia="仿宋" w:hAnsi="仿宋" w:cs="仿宋"/>
        </w:rPr>
        <w:t>，变动原因：按照财政过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要求压减经费支出。</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3.91</w:t>
      </w:r>
      <w:r>
        <w:rPr>
          <w:rFonts w:ascii="仿宋" w:eastAsia="仿宋" w:hAnsi="仿宋" w:cs="仿宋"/>
        </w:rPr>
        <w:t>万元，其中：政府采购货物支出</w:t>
      </w:r>
      <w:r>
        <w:rPr>
          <w:rFonts w:ascii="仿宋" w:eastAsia="仿宋" w:hAnsi="仿宋" w:cs="仿宋"/>
        </w:rPr>
        <w:t>2.31</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1.6</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万元，占政府采购支出总额的</w:t>
      </w:r>
      <w:r>
        <w:rPr>
          <w:rFonts w:ascii="仿宋" w:eastAsia="仿宋" w:hAnsi="仿宋" w:cs="仿宋"/>
        </w:rPr>
        <w:t>0%</w:t>
      </w:r>
      <w:r>
        <w:rPr>
          <w:rFonts w:ascii="仿宋" w:eastAsia="仿宋" w:hAnsi="仿宋" w:cs="仿宋"/>
        </w:rPr>
        <w:t>，其中：授予小微企业合同金额</w:t>
      </w:r>
      <w:r>
        <w:rPr>
          <w:rFonts w:ascii="仿宋" w:eastAsia="仿宋" w:hAnsi="仿宋" w:cs="仿宋"/>
        </w:rPr>
        <w:t>0</w:t>
      </w:r>
      <w:r>
        <w:rPr>
          <w:rFonts w:ascii="仿宋" w:eastAsia="仿宋" w:hAnsi="仿宋" w:cs="仿宋"/>
        </w:rPr>
        <w:t>万元。</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3</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3</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r>
        <w:rPr>
          <w:rFonts w:ascii="仿宋" w:eastAsia="仿宋" w:hAnsi="仿宋" w:cs="仿宋"/>
        </w:rPr>
        <w:t>）。</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E27AD1" w:rsidRDefault="002D7FCF">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23</w:t>
      </w:r>
      <w:r>
        <w:rPr>
          <w:rFonts w:ascii="仿宋" w:eastAsia="仿宋" w:hAnsi="仿宋" w:cs="仿宋"/>
        </w:rPr>
        <w:t>个项目开展了绩效自评</w:t>
      </w:r>
      <w:r>
        <w:rPr>
          <w:rFonts w:ascii="仿宋" w:eastAsia="仿宋" w:hAnsi="仿宋" w:cs="仿宋"/>
        </w:rPr>
        <w:lastRenderedPageBreak/>
        <w:t>价，涉及财政性资金合计</w:t>
      </w:r>
      <w:r>
        <w:rPr>
          <w:rFonts w:ascii="仿宋" w:eastAsia="仿宋" w:hAnsi="仿宋" w:cs="仿宋"/>
        </w:rPr>
        <w:t>19,405.98</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27,372.17</w:t>
      </w:r>
      <w:r>
        <w:rPr>
          <w:rFonts w:ascii="仿宋" w:eastAsia="仿宋" w:hAnsi="仿宋" w:cs="仿宋"/>
        </w:rPr>
        <w:t>万元。</w:t>
      </w:r>
    </w:p>
    <w:p w:rsidR="00E27AD1" w:rsidRDefault="002D7FCF">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E27AD1" w:rsidRDefault="00E27AD1">
      <w:pPr>
        <w:pStyle w:val="a4"/>
        <w:tabs>
          <w:tab w:val="left" w:pos="3864"/>
          <w:tab w:val="left" w:pos="6248"/>
          <w:tab w:val="left" w:pos="7386"/>
        </w:tabs>
        <w:ind w:leftChars="200" w:left="440" w:firstLineChars="206" w:firstLine="659"/>
        <w:jc w:val="both"/>
        <w:rPr>
          <w:rFonts w:ascii="仿宋" w:eastAsia="仿宋" w:hAnsi="仿宋" w:cs="仿宋"/>
        </w:rPr>
      </w:pP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w:t>
      </w:r>
      <w:r>
        <w:rPr>
          <w:rFonts w:ascii="仿宋" w:eastAsia="仿宋" w:hAnsi="仿宋" w:cs="仿宋" w:hint="eastAsia"/>
        </w:rPr>
        <w:lastRenderedPageBreak/>
        <w:t>照预算管理要求使用非财政拨款结余（含专用结余）弥补当年收支差额的数额。</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w:t>
      </w:r>
      <w:r>
        <w:rPr>
          <w:rFonts w:ascii="仿宋" w:eastAsia="仿宋" w:hAnsi="仿宋" w:cs="仿宋" w:hint="eastAsia"/>
        </w:rPr>
        <w:t>用财政拨款安排的因公出国（境）费、公务用车购置及运行维护费和公务接待费。其中，因公出国（境）费反映单位公务出国（境）的国际旅费、国外城市间交通费、住宿费、伙食费、培训费、公杂费等支出；公</w:t>
      </w:r>
      <w:r>
        <w:rPr>
          <w:rFonts w:ascii="仿宋" w:eastAsia="仿宋" w:hAnsi="仿宋" w:cs="仿宋" w:hint="eastAsia"/>
        </w:rPr>
        <w:lastRenderedPageBreak/>
        <w:t>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w:t>
      </w:r>
      <w:r>
        <w:rPr>
          <w:rFonts w:ascii="仿宋" w:eastAsia="仿宋" w:hAnsi="仿宋" w:cs="仿宋" w:hint="eastAsia"/>
        </w:rPr>
        <w:t>公及印刷费、邮电费、差旅费、会议费、福利费、日常维修费、专用材料及一般设备购置费、办公用房水电费、办公用房取暖费、办公用房物业管理费、公务用车运行维护费及其他费用。</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十九、科学技术支出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基础研究</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科技人才队伍建设</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反映高层次科技人才、科研机构研究生培养和博士后科学基金等方面的支出。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行政运行</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反映行政单位（包括实行公务员管理的事业单位）的基本支出。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一般行政管理事务</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反映行政单位（包括实行公务员管理的事业单位）未单独设置项级科目的其他项目支出。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其他人力资源和社会保障管理事务支出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反映除上述项目以外其他用于人力资源和社会保障管理事务方面的</w:t>
      </w:r>
      <w:r>
        <w:rPr>
          <w:rFonts w:ascii="仿宋" w:eastAsia="仿宋" w:hAnsi="仿宋" w:cs="仿宋" w:hint="eastAsia"/>
        </w:rPr>
        <w:lastRenderedPageBreak/>
        <w:t>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高技能人才培养补助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反映财政用于技能大师工作室建设等方面的补助支出。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二十七、社会保障和就业支出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其他就业补助支出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w:t>
      </w:r>
      <w:r>
        <w:rPr>
          <w:rFonts w:ascii="仿宋" w:eastAsia="仿宋" w:hAnsi="仿宋" w:cs="仿宋" w:hint="eastAsia"/>
        </w:rPr>
        <w:t>映除上述项目以外按规定确定的其他用于促进就业的补助支出。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二十八、社会保障和就业支出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其他生活救助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其他城市生活救助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反映除最低生活保障、临时救助、特困人员救助供养外，用于城市生活困难居民生活救助的其他支出，包括用于除优抚对象、失业人员之外城市生活困难居民的价格临时补贴支出。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三十、住房保障支出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w:t>
      </w:r>
      <w:r>
        <w:rPr>
          <w:rFonts w:ascii="仿宋" w:eastAsia="仿宋" w:hAnsi="仿宋" w:cs="仿宋" w:hint="eastAsia"/>
        </w:rPr>
        <w:t>按人力资源和社会保障部、财政部规定的基本工资和津贴补贴以及规定比例为职工缴纳的住房公积金。</w:t>
      </w:r>
    </w:p>
    <w:p w:rsidR="00E27AD1" w:rsidRDefault="002D7FCF">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三十一、住房保障支出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sectPr w:rsidR="00E27AD1">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FCF" w:rsidRDefault="002D7FCF">
      <w:r>
        <w:separator/>
      </w:r>
    </w:p>
  </w:endnote>
  <w:endnote w:type="continuationSeparator" w:id="0">
    <w:p w:rsidR="002D7FCF" w:rsidRDefault="002D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60AC7">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E27AD1" w:rsidRDefault="002D7FC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60AC7">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- 25 -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- 26 -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- 28 -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- 49 -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- 49 -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60AC7">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E27AD1" w:rsidRDefault="002D7FC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460AC7">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- 10 -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- 12 -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- 14 -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- 16 -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- 18 -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- 21 -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E27AD1" w:rsidRDefault="002D7FCF">
                    <w:pPr>
                      <w:pStyle w:val="a5"/>
                    </w:pPr>
                    <w:r>
                      <w:rPr>
                        <w:rFonts w:hint="eastAsia"/>
                      </w:rPr>
                      <w:fldChar w:fldCharType="begin"/>
                    </w:r>
                    <w:r>
                      <w:rPr>
                        <w:rFonts w:hint="eastAsia"/>
                      </w:rPr>
                      <w:instrText xml:space="preserve"> PAGE  \* MERGEFORMAT </w:instrText>
                    </w:r>
                    <w:r>
                      <w:rPr>
                        <w:rFonts w:hint="eastAsia"/>
                      </w:rPr>
                      <w:fldChar w:fldCharType="separate"/>
                    </w:r>
                    <w:r w:rsidR="00460AC7">
                      <w:rPr>
                        <w:noProof/>
                      </w:rPr>
                      <w:t>- 22 -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FCF" w:rsidRDefault="002D7FCF">
      <w:r>
        <w:separator/>
      </w:r>
    </w:p>
  </w:footnote>
  <w:footnote w:type="continuationSeparator" w:id="0">
    <w:p w:rsidR="002D7FCF" w:rsidRDefault="002D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2D7FCF">
    <w:pPr>
      <w:pStyle w:val="a6"/>
      <w:pBdr>
        <w:bottom w:val="single" w:sz="4" w:space="1" w:color="000000"/>
      </w:pBdr>
      <w:jc w:val="both"/>
      <w:rPr>
        <w:lang w:val="en-US"/>
      </w:rPr>
    </w:pPr>
    <w:r>
      <w:rPr>
        <w:rFonts w:hint="eastAsia"/>
        <w:lang w:val="en-US"/>
      </w:rPr>
      <w:t>南京市人力资源和社会保障局</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D1" w:rsidRDefault="00E27AD1">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D7FCF"/>
    <w:rsid w:val="002E63B1"/>
    <w:rsid w:val="00407CA7"/>
    <w:rsid w:val="00413AD8"/>
    <w:rsid w:val="00460AC7"/>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E27AD1"/>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161B2B-75AF-44FD-9BE5-334CEA9A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3880</Words>
  <Characters>22120</Characters>
  <Application>Microsoft Office Word</Application>
  <DocSecurity>0</DocSecurity>
  <Lines>184</Lines>
  <Paragraphs>51</Paragraphs>
  <ScaleCrop>false</ScaleCrop>
  <Company>Micorosoft</Company>
  <LinksUpToDate>false</LinksUpToDate>
  <CharactersWithSpaces>25949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2</cp:revision>
  <dcterms:created xsi:type="dcterms:W3CDTF">2025-10-15T01:31:00Z</dcterms:created>
  <dcterms:modified xsi:type="dcterms:W3CDTF">2025-10-15T01:31:00Z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