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43C8645" w14:textId="1923CC51" w:rsidR="00260726" w:rsidRDefault="00E936D8" w:rsidP="006368A0">
      <w:pPr>
        <w:widowControl/>
        <w:adjustRightInd w:val="0"/>
        <w:snapToGrid w:val="0"/>
        <w:spacing w:line="700" w:lineRule="exact"/>
        <w:jc w:val="center"/>
        <w:rPr>
          <w:rFonts w:eastAsia="方正小标宋_GBK"/>
          <w:color w:val="000000"/>
          <w:kern w:val="0"/>
          <w:sz w:val="44"/>
          <w:szCs w:val="44"/>
        </w:rPr>
      </w:pPr>
      <w:r>
        <w:rPr>
          <w:rFonts w:eastAsia="方正小标宋_GBK"/>
          <w:sz w:val="44"/>
          <w:szCs w:val="44"/>
        </w:rPr>
        <w:t>202</w:t>
      </w:r>
      <w:r>
        <w:rPr>
          <w:rFonts w:eastAsia="方正小标宋_GBK" w:hint="eastAsia"/>
          <w:sz w:val="44"/>
          <w:szCs w:val="44"/>
        </w:rPr>
        <w:t>4</w:t>
      </w:r>
      <w:r>
        <w:rPr>
          <w:rFonts w:eastAsia="方正小标宋_GBK"/>
          <w:sz w:val="44"/>
          <w:szCs w:val="44"/>
        </w:rPr>
        <w:t>年度南京市人力资源和社会保障局</w:t>
      </w:r>
      <w:r w:rsidR="003747EC">
        <w:rPr>
          <w:rFonts w:eastAsia="方正小标宋_GBK" w:hint="eastAsia"/>
          <w:sz w:val="44"/>
          <w:szCs w:val="44"/>
        </w:rPr>
        <w:t xml:space="preserve">  </w:t>
      </w:r>
      <w:r w:rsidR="006368A0">
        <w:rPr>
          <w:rFonts w:eastAsia="方正小标宋_GBK"/>
          <w:sz w:val="44"/>
          <w:szCs w:val="44"/>
        </w:rPr>
        <w:t xml:space="preserve">  </w:t>
      </w:r>
      <w:r w:rsidR="006368A0">
        <w:rPr>
          <w:rFonts w:eastAsia="方正小标宋_GBK" w:hint="eastAsia"/>
          <w:sz w:val="44"/>
          <w:szCs w:val="44"/>
        </w:rPr>
        <w:t>部门</w:t>
      </w:r>
      <w:r>
        <w:rPr>
          <w:rFonts w:eastAsia="方正小标宋_GBK"/>
          <w:sz w:val="44"/>
          <w:szCs w:val="44"/>
        </w:rPr>
        <w:t>整体绩效自评价报告</w:t>
      </w:r>
    </w:p>
    <w:p w14:paraId="52F51ED4" w14:textId="77777777" w:rsidR="00260726" w:rsidRDefault="00260726">
      <w:pPr>
        <w:widowControl/>
        <w:adjustRightInd w:val="0"/>
        <w:snapToGrid w:val="0"/>
        <w:spacing w:line="560" w:lineRule="exact"/>
        <w:ind w:firstLineChars="200" w:firstLine="880"/>
        <w:rPr>
          <w:rFonts w:eastAsia="方正小标宋_GBK"/>
          <w:color w:val="000000"/>
          <w:kern w:val="0"/>
          <w:sz w:val="44"/>
          <w:szCs w:val="44"/>
        </w:rPr>
      </w:pPr>
    </w:p>
    <w:p w14:paraId="63800670" w14:textId="77777777" w:rsidR="00260726" w:rsidRDefault="00E936D8">
      <w:pPr>
        <w:widowControl/>
        <w:adjustRightInd w:val="0"/>
        <w:snapToGrid w:val="0"/>
        <w:spacing w:line="560" w:lineRule="exact"/>
        <w:ind w:firstLineChars="200" w:firstLine="640"/>
        <w:rPr>
          <w:rFonts w:eastAsia="方正黑体_GBK"/>
          <w:color w:val="000000"/>
          <w:kern w:val="0"/>
          <w:sz w:val="32"/>
          <w:szCs w:val="32"/>
        </w:rPr>
      </w:pPr>
      <w:r>
        <w:rPr>
          <w:rFonts w:eastAsia="方正黑体_GBK"/>
          <w:color w:val="000000"/>
          <w:kern w:val="0"/>
          <w:sz w:val="32"/>
          <w:szCs w:val="32"/>
        </w:rPr>
        <w:t>一、单位概况</w:t>
      </w:r>
    </w:p>
    <w:p w14:paraId="24D7866D" w14:textId="77777777" w:rsidR="00260726" w:rsidRDefault="00E936D8">
      <w:pPr>
        <w:adjustRightInd w:val="0"/>
        <w:snapToGrid w:val="0"/>
        <w:spacing w:line="560" w:lineRule="exact"/>
        <w:ind w:firstLineChars="200" w:firstLine="640"/>
        <w:rPr>
          <w:rFonts w:eastAsia="方正楷体_GBK"/>
          <w:sz w:val="32"/>
          <w:szCs w:val="32"/>
        </w:rPr>
      </w:pPr>
      <w:r>
        <w:rPr>
          <w:rFonts w:eastAsia="方正楷体_GBK"/>
          <w:color w:val="000000"/>
          <w:kern w:val="0"/>
          <w:sz w:val="32"/>
          <w:szCs w:val="32"/>
        </w:rPr>
        <w:t>（一）</w:t>
      </w:r>
      <w:bookmarkStart w:id="0" w:name="_GoBack"/>
      <w:r>
        <w:rPr>
          <w:rFonts w:eastAsia="方正楷体_GBK"/>
          <w:color w:val="000000"/>
          <w:kern w:val="0"/>
          <w:sz w:val="32"/>
          <w:szCs w:val="32"/>
        </w:rPr>
        <w:t>单位</w:t>
      </w:r>
      <w:bookmarkEnd w:id="0"/>
      <w:r>
        <w:rPr>
          <w:rFonts w:eastAsia="方正楷体_GBK"/>
          <w:sz w:val="32"/>
          <w:szCs w:val="32"/>
        </w:rPr>
        <w:t>基本情况</w:t>
      </w:r>
    </w:p>
    <w:p w14:paraId="0D079E40" w14:textId="6388FC01" w:rsidR="00260726" w:rsidRDefault="00E936D8">
      <w:pPr>
        <w:pStyle w:val="aa"/>
        <w:adjustRightInd w:val="0"/>
        <w:snapToGrid w:val="0"/>
        <w:spacing w:line="560" w:lineRule="exact"/>
        <w:ind w:firstLine="640"/>
        <w:rPr>
          <w:rFonts w:eastAsia="方正仿宋_GBK"/>
          <w:sz w:val="32"/>
          <w:szCs w:val="32"/>
        </w:rPr>
      </w:pPr>
      <w:r>
        <w:rPr>
          <w:rFonts w:eastAsia="方正仿宋_GBK"/>
          <w:color w:val="000000"/>
          <w:sz w:val="32"/>
          <w:szCs w:val="32"/>
        </w:rPr>
        <w:t>1.</w:t>
      </w:r>
      <w:r w:rsidR="002E1FC7">
        <w:rPr>
          <w:rFonts w:eastAsia="方正仿宋_GBK"/>
          <w:color w:val="000000"/>
          <w:sz w:val="32"/>
          <w:szCs w:val="32"/>
        </w:rPr>
        <w:t xml:space="preserve"> </w:t>
      </w:r>
      <w:r>
        <w:rPr>
          <w:rFonts w:eastAsia="方正仿宋_GBK"/>
          <w:color w:val="000000"/>
          <w:sz w:val="32"/>
          <w:szCs w:val="32"/>
        </w:rPr>
        <w:t>南京市人力资源和社会保障局（以下简称南京市人社局）</w:t>
      </w:r>
      <w:r>
        <w:rPr>
          <w:rFonts w:eastAsia="方正仿宋_GBK"/>
          <w:sz w:val="32"/>
          <w:szCs w:val="32"/>
        </w:rPr>
        <w:t>成立于</w:t>
      </w:r>
      <w:r>
        <w:rPr>
          <w:rFonts w:eastAsia="方正仿宋_GBK"/>
          <w:sz w:val="32"/>
          <w:szCs w:val="32"/>
        </w:rPr>
        <w:t>2010</w:t>
      </w:r>
      <w:r>
        <w:rPr>
          <w:rFonts w:eastAsia="方正仿宋_GBK"/>
          <w:sz w:val="32"/>
          <w:szCs w:val="32"/>
        </w:rPr>
        <w:t>年，由原市人事局、市劳动局合并组建而成。</w:t>
      </w:r>
      <w:r>
        <w:rPr>
          <w:rFonts w:eastAsia="方正仿宋_GBK"/>
          <w:sz w:val="32"/>
          <w:szCs w:val="32"/>
        </w:rPr>
        <w:t>2019</w:t>
      </w:r>
      <w:r>
        <w:rPr>
          <w:rFonts w:eastAsia="方正仿宋_GBK"/>
          <w:sz w:val="32"/>
          <w:szCs w:val="32"/>
        </w:rPr>
        <w:t>年机构改革，划出公务员管理、军转安置、外国专家管理和医保等职能。</w:t>
      </w:r>
    </w:p>
    <w:p w14:paraId="537D965D" w14:textId="566A9578"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2.</w:t>
      </w:r>
      <w:r w:rsidR="002E1FC7">
        <w:rPr>
          <w:rFonts w:eastAsia="方正仿宋_GBK"/>
          <w:color w:val="000000"/>
          <w:sz w:val="32"/>
          <w:szCs w:val="32"/>
        </w:rPr>
        <w:t xml:space="preserve"> </w:t>
      </w:r>
      <w:r>
        <w:rPr>
          <w:rFonts w:eastAsia="方正仿宋_GBK"/>
          <w:color w:val="000000"/>
          <w:sz w:val="32"/>
          <w:szCs w:val="32"/>
        </w:rPr>
        <w:t>单位主要职能。本单位负责贯彻落实中央关于人力资源和社会保障工作的方针政策和省委、市委的决策部署，在履行职责过程中坚持和加强党对人力资源和社会保障工作的集中统一领导。其中：</w:t>
      </w:r>
    </w:p>
    <w:p w14:paraId="55C64CA5"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w:t>
      </w:r>
      <w:r>
        <w:rPr>
          <w:rFonts w:eastAsia="方正仿宋_GBK"/>
          <w:color w:val="000000"/>
          <w:sz w:val="32"/>
          <w:szCs w:val="32"/>
        </w:rPr>
        <w:t>1</w:t>
      </w:r>
      <w:r>
        <w:rPr>
          <w:rFonts w:eastAsia="方正仿宋_GBK"/>
          <w:color w:val="000000"/>
          <w:sz w:val="32"/>
          <w:szCs w:val="32"/>
        </w:rPr>
        <w:t>）人事人才方面。贯彻执行国家、省人力资源市场相关法规，拟订并组织实施人力资源市场发展规划和人力资源服务业发展、人力资源流动政策，负责人力资源服务机构管理工作，负责人力资源市场监管工作。按照职责分工负责相关人才工作，拟订人才资源开发规划，组织实施重点人才工程和项目计划。推进深化职称制度改革，拟订专业技术人员管理、继续教育和博士后管理等政策，负责高层次专业技术人才及专家选拔、培养、服务工作，拟订吸引留学人员来本市工作或定居的政策。组织拟订技能人才培养、评价、使用和激励制度。完善职业资格制</w:t>
      </w:r>
      <w:r>
        <w:rPr>
          <w:rFonts w:eastAsia="方正仿宋_GBK"/>
          <w:color w:val="000000"/>
          <w:sz w:val="32"/>
          <w:szCs w:val="32"/>
        </w:rPr>
        <w:lastRenderedPageBreak/>
        <w:t>度，健全职业技能多元化评价政策。会同有关部门指导全市事业单位人事制度改革，按照管理权限负责规范事业单位岗位设置、公开招聘、聘用合同等人事综合管理工作，拟订事业单位人员和机关工勤人员管理政策。会同有关部门拟订事业单位人员工资收入分配政策和企业人员收入分配的调控政策，建立企事业单位人员工资决定、正常增长和支付保障机制。拟订企事业单位人员福利和离退休政策。组织实施国家表彰奖励制度，会同有关部门拟订全市表彰奖励制度，综合管理全市表彰奖励工作，承担全市创建评比达标表彰有关工作，根据授权承办以市委、市政府名义开展的市级表彰奖励活动。负责人力资源和社会保障领域对外交流与合作工作。</w:t>
      </w:r>
    </w:p>
    <w:p w14:paraId="5F8181A5"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w:t>
      </w:r>
      <w:r>
        <w:rPr>
          <w:rFonts w:eastAsia="方正仿宋_GBK"/>
          <w:color w:val="000000"/>
          <w:sz w:val="32"/>
          <w:szCs w:val="32"/>
        </w:rPr>
        <w:t>2</w:t>
      </w:r>
      <w:r>
        <w:rPr>
          <w:rFonts w:eastAsia="方正仿宋_GBK"/>
          <w:color w:val="000000"/>
          <w:sz w:val="32"/>
          <w:szCs w:val="32"/>
        </w:rPr>
        <w:t>）就业创业方面。负责促进就业工作，拟订统筹城乡的就业发展规划和政策，完善公共就业创业服务体系，统筹建立面向城乡劳动者的职业技能培训制度，拟订就业援助制度，牵头拟订高校毕业生就业政策，会同有关部门拟订外国人来华工作政策。</w:t>
      </w:r>
    </w:p>
    <w:p w14:paraId="74D87CF9"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w:t>
      </w:r>
      <w:r>
        <w:rPr>
          <w:rFonts w:eastAsia="方正仿宋_GBK"/>
          <w:color w:val="000000"/>
          <w:sz w:val="32"/>
          <w:szCs w:val="32"/>
        </w:rPr>
        <w:t>3</w:t>
      </w:r>
      <w:r>
        <w:rPr>
          <w:rFonts w:eastAsia="方正仿宋_GBK"/>
          <w:color w:val="000000"/>
          <w:sz w:val="32"/>
          <w:szCs w:val="32"/>
        </w:rPr>
        <w:t>）社会保障方面。负责建立和完善覆盖城乡的多层次社会保障体系，拟订养老、失业、工伤等社会保险及其补充保险政策和标准，并组织实施。贯彻实施养老保险全国和省统筹办法以及全国统一的养老、失业、工伤等社会保险关系转续办法，拟订养老保险市级统筹意见。组织拟订养老、失业、工伤等社会保险及其补充保险基金管理和监督办法，编制相关社会保险基金预决算草案。会同有关部门实施全民参保计划并建立全市统一</w:t>
      </w:r>
      <w:r>
        <w:rPr>
          <w:rFonts w:eastAsia="方正仿宋_GBK"/>
          <w:color w:val="000000"/>
          <w:sz w:val="32"/>
          <w:szCs w:val="32"/>
        </w:rPr>
        <w:lastRenderedPageBreak/>
        <w:t>的社会保险公共服务平台。负责就业、失业和相关社会保险基金预测预警和信息引导，拟订应对预案，实施监管调控，保持就业形势稳定和相关社会保险基金总体收支平衡。</w:t>
      </w:r>
    </w:p>
    <w:p w14:paraId="71DE5639" w14:textId="678F4C5D"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w:t>
      </w:r>
      <w:r>
        <w:rPr>
          <w:rFonts w:eastAsia="方正仿宋_GBK"/>
          <w:color w:val="000000"/>
          <w:sz w:val="32"/>
          <w:szCs w:val="32"/>
        </w:rPr>
        <w:t>4</w:t>
      </w:r>
      <w:r>
        <w:rPr>
          <w:rFonts w:eastAsia="方正仿宋_GBK"/>
          <w:color w:val="000000"/>
          <w:sz w:val="32"/>
          <w:szCs w:val="32"/>
        </w:rPr>
        <w:t>）劳动关系方面</w:t>
      </w:r>
      <w:r w:rsidR="009F545C">
        <w:rPr>
          <w:rFonts w:eastAsia="方正仿宋_GBK" w:hint="eastAsia"/>
          <w:color w:val="000000"/>
          <w:sz w:val="32"/>
          <w:szCs w:val="32"/>
        </w:rPr>
        <w:t>。</w:t>
      </w:r>
      <w:r>
        <w:rPr>
          <w:rFonts w:eastAsia="方正仿宋_GBK"/>
          <w:color w:val="000000"/>
          <w:sz w:val="32"/>
          <w:szCs w:val="32"/>
        </w:rPr>
        <w:t>统筹拟订劳动关系政策，完善劳动关系协商协调机制，对劳动标准执行实施监管。会同有关部门拟订农民工工作相关政策并推动落实，协调解决重点难点问题，维护农民工合法权益。统筹拟订劳动人事争议调解仲裁办法并组织实施，受理处理劳动人事争议案件。组织实施劳动保障监察，协调劳动者维权工作，依法查处违法案件。</w:t>
      </w:r>
    </w:p>
    <w:p w14:paraId="722177C4" w14:textId="461C30C0" w:rsidR="00260726" w:rsidRDefault="00E936D8">
      <w:pPr>
        <w:snapToGrid w:val="0"/>
        <w:spacing w:line="560" w:lineRule="exact"/>
        <w:ind w:firstLineChars="200" w:firstLine="640"/>
        <w:rPr>
          <w:rFonts w:ascii="方正仿宋_GBK" w:eastAsia="方正仿宋_GBK" w:hAnsi="方正仿宋_GBK" w:cs="方正仿宋_GBK"/>
          <w:sz w:val="32"/>
          <w:szCs w:val="32"/>
        </w:rPr>
      </w:pPr>
      <w:r>
        <w:rPr>
          <w:rFonts w:eastAsia="方正仿宋_GBK"/>
          <w:color w:val="000000"/>
          <w:sz w:val="32"/>
          <w:szCs w:val="32"/>
        </w:rPr>
        <w:t>3.</w:t>
      </w:r>
      <w:r w:rsidR="009F545C">
        <w:rPr>
          <w:rFonts w:eastAsia="方正仿宋_GBK"/>
          <w:color w:val="000000"/>
          <w:sz w:val="32"/>
          <w:szCs w:val="32"/>
        </w:rPr>
        <w:t xml:space="preserve"> </w:t>
      </w:r>
      <w:r>
        <w:rPr>
          <w:rFonts w:eastAsia="方正仿宋_GBK"/>
          <w:color w:val="000000"/>
          <w:sz w:val="32"/>
          <w:szCs w:val="32"/>
        </w:rPr>
        <w:t>内设机构。根据《南京市人力资源和社会保障局职能配置、内设机构和人员编制规定》精神，本单位内设以下二十个机构：</w:t>
      </w:r>
      <w:r>
        <w:rPr>
          <w:rFonts w:ascii="方正仿宋_GBK" w:eastAsia="方正仿宋_GBK" w:hAnsi="方正仿宋_GBK" w:cs="方正仿宋_GBK" w:hint="eastAsia"/>
          <w:sz w:val="32"/>
          <w:szCs w:val="32"/>
        </w:rPr>
        <w:t>办公室（信访处、安全生产监督管理处）、法规处（行政审批服务处）、规划财务处、就业促进处（失业保险处）、职业能力建设处（技工院校管理处）、专业技术人员管理处（职称和职业资格管理处）、人力资源开发和流动管理处（留学人员工作处）、事业单位人事管理处、农民工工作处、劳动关系处、工资福利处、养老保险处、工伤保险处（市劳动能力鉴定委员会办公室）、城乡居民社会保险处、社会保险基金监管处、调解仲裁管理处、劳动保障监察局、人事处（表彰奖励处）、机关党委、离退休干部处。</w:t>
      </w:r>
    </w:p>
    <w:p w14:paraId="5BCB6AAF" w14:textId="72413588"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4.</w:t>
      </w:r>
      <w:r w:rsidR="00BA59C7">
        <w:rPr>
          <w:rFonts w:eastAsia="方正仿宋_GBK"/>
          <w:color w:val="000000"/>
          <w:sz w:val="32"/>
          <w:szCs w:val="32"/>
        </w:rPr>
        <w:t xml:space="preserve"> </w:t>
      </w:r>
      <w:r>
        <w:rPr>
          <w:rFonts w:eastAsia="方正仿宋_GBK"/>
          <w:color w:val="000000"/>
          <w:sz w:val="32"/>
          <w:szCs w:val="32"/>
        </w:rPr>
        <w:t>人员情况。</w:t>
      </w:r>
      <w:r>
        <w:rPr>
          <w:rFonts w:eastAsia="方正仿宋_GBK" w:hint="eastAsia"/>
          <w:color w:val="000000"/>
          <w:sz w:val="32"/>
          <w:szCs w:val="32"/>
        </w:rPr>
        <w:t>截至</w:t>
      </w: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年底，南京市人社局机关行政编制为</w:t>
      </w:r>
      <w:r>
        <w:rPr>
          <w:rFonts w:eastAsia="方正仿宋_GBK"/>
          <w:color w:val="000000"/>
          <w:sz w:val="32"/>
          <w:szCs w:val="32"/>
        </w:rPr>
        <w:t>1</w:t>
      </w:r>
      <w:r>
        <w:rPr>
          <w:rFonts w:eastAsia="方正仿宋_GBK" w:hint="eastAsia"/>
          <w:color w:val="000000"/>
          <w:sz w:val="32"/>
          <w:szCs w:val="32"/>
        </w:rPr>
        <w:t>25</w:t>
      </w:r>
      <w:r>
        <w:rPr>
          <w:rFonts w:eastAsia="方正仿宋_GBK"/>
          <w:color w:val="000000"/>
          <w:sz w:val="32"/>
          <w:szCs w:val="32"/>
        </w:rPr>
        <w:t>人，行政附属编制</w:t>
      </w:r>
      <w:r>
        <w:rPr>
          <w:rFonts w:eastAsia="方正仿宋_GBK"/>
          <w:color w:val="000000"/>
          <w:sz w:val="32"/>
          <w:szCs w:val="32"/>
        </w:rPr>
        <w:t>1</w:t>
      </w:r>
      <w:r>
        <w:rPr>
          <w:rFonts w:eastAsia="方正仿宋_GBK" w:hint="eastAsia"/>
          <w:color w:val="000000"/>
          <w:sz w:val="32"/>
          <w:szCs w:val="32"/>
        </w:rPr>
        <w:t>2</w:t>
      </w:r>
      <w:r>
        <w:rPr>
          <w:rFonts w:eastAsia="方正仿宋_GBK"/>
          <w:color w:val="000000"/>
          <w:sz w:val="32"/>
          <w:szCs w:val="32"/>
        </w:rPr>
        <w:t>人，实有在职人员</w:t>
      </w:r>
      <w:r>
        <w:rPr>
          <w:rFonts w:eastAsia="方正仿宋_GBK" w:hint="eastAsia"/>
          <w:color w:val="000000"/>
          <w:sz w:val="32"/>
          <w:szCs w:val="32"/>
        </w:rPr>
        <w:t>132</w:t>
      </w:r>
      <w:r>
        <w:rPr>
          <w:rFonts w:eastAsia="方正仿宋_GBK"/>
          <w:color w:val="000000"/>
          <w:sz w:val="32"/>
          <w:szCs w:val="32"/>
        </w:rPr>
        <w:t>人；辅助人员编制</w:t>
      </w:r>
      <w:r>
        <w:rPr>
          <w:rFonts w:eastAsia="方正仿宋_GBK"/>
          <w:color w:val="000000"/>
          <w:sz w:val="32"/>
          <w:szCs w:val="32"/>
        </w:rPr>
        <w:t>1</w:t>
      </w:r>
      <w:r>
        <w:rPr>
          <w:rFonts w:eastAsia="方正仿宋_GBK" w:hint="eastAsia"/>
          <w:color w:val="000000"/>
          <w:sz w:val="32"/>
          <w:szCs w:val="32"/>
        </w:rPr>
        <w:t>3</w:t>
      </w:r>
      <w:r>
        <w:rPr>
          <w:rFonts w:eastAsia="方正仿宋_GBK"/>
          <w:color w:val="000000"/>
          <w:sz w:val="32"/>
          <w:szCs w:val="32"/>
        </w:rPr>
        <w:t>人，实有</w:t>
      </w:r>
      <w:r>
        <w:rPr>
          <w:rFonts w:eastAsia="方正仿宋_GBK"/>
          <w:color w:val="000000"/>
          <w:sz w:val="32"/>
          <w:szCs w:val="32"/>
        </w:rPr>
        <w:t>1</w:t>
      </w:r>
      <w:r>
        <w:rPr>
          <w:rFonts w:eastAsia="方正仿宋_GBK" w:hint="eastAsia"/>
          <w:color w:val="000000"/>
          <w:sz w:val="32"/>
          <w:szCs w:val="32"/>
        </w:rPr>
        <w:t>0</w:t>
      </w:r>
      <w:r>
        <w:rPr>
          <w:rFonts w:eastAsia="方正仿宋_GBK"/>
          <w:color w:val="000000"/>
          <w:sz w:val="32"/>
          <w:szCs w:val="32"/>
        </w:rPr>
        <w:t>人；离休人员</w:t>
      </w:r>
      <w:r>
        <w:rPr>
          <w:rFonts w:eastAsia="方正仿宋_GBK"/>
          <w:color w:val="000000"/>
          <w:sz w:val="32"/>
          <w:szCs w:val="32"/>
        </w:rPr>
        <w:t>3</w:t>
      </w:r>
      <w:r>
        <w:rPr>
          <w:rFonts w:eastAsia="方正仿宋_GBK"/>
          <w:color w:val="000000"/>
          <w:sz w:val="32"/>
          <w:szCs w:val="32"/>
        </w:rPr>
        <w:t>人，退休人员</w:t>
      </w:r>
      <w:r>
        <w:rPr>
          <w:rFonts w:eastAsia="方正仿宋_GBK"/>
          <w:color w:val="000000"/>
          <w:sz w:val="32"/>
          <w:szCs w:val="32"/>
        </w:rPr>
        <w:t>1</w:t>
      </w:r>
      <w:r>
        <w:rPr>
          <w:rFonts w:eastAsia="方正仿宋_GBK" w:hint="eastAsia"/>
          <w:color w:val="000000"/>
          <w:sz w:val="32"/>
          <w:szCs w:val="32"/>
        </w:rPr>
        <w:t>37</w:t>
      </w:r>
      <w:r>
        <w:rPr>
          <w:rFonts w:eastAsia="方正仿宋_GBK"/>
          <w:color w:val="000000"/>
          <w:sz w:val="32"/>
          <w:szCs w:val="32"/>
        </w:rPr>
        <w:t>人。</w:t>
      </w:r>
    </w:p>
    <w:p w14:paraId="66C2A265" w14:textId="79D67014" w:rsidR="00260726" w:rsidRDefault="00E936D8">
      <w:pPr>
        <w:widowControl/>
        <w:adjustRightInd w:val="0"/>
        <w:snapToGrid w:val="0"/>
        <w:spacing w:line="560" w:lineRule="exact"/>
        <w:ind w:firstLineChars="200" w:firstLine="640"/>
        <w:rPr>
          <w:rFonts w:eastAsia="方正仿宋_GBK"/>
          <w:color w:val="000000"/>
          <w:sz w:val="32"/>
          <w:szCs w:val="32"/>
        </w:rPr>
      </w:pPr>
      <w:r>
        <w:rPr>
          <w:rFonts w:eastAsia="方正仿宋_GBK"/>
          <w:color w:val="000000"/>
          <w:kern w:val="0"/>
          <w:sz w:val="32"/>
          <w:szCs w:val="32"/>
        </w:rPr>
        <w:lastRenderedPageBreak/>
        <w:t>5.</w:t>
      </w:r>
      <w:r w:rsidR="00BA59C7">
        <w:rPr>
          <w:rFonts w:eastAsia="方正仿宋_GBK"/>
          <w:color w:val="000000"/>
          <w:kern w:val="0"/>
          <w:sz w:val="32"/>
          <w:szCs w:val="32"/>
        </w:rPr>
        <w:t xml:space="preserve"> </w:t>
      </w:r>
      <w:r>
        <w:rPr>
          <w:rFonts w:eastAsia="方正仿宋_GBK"/>
          <w:color w:val="000000"/>
          <w:kern w:val="0"/>
          <w:sz w:val="32"/>
          <w:szCs w:val="32"/>
        </w:rPr>
        <w:t>资产情况。</w:t>
      </w:r>
      <w:r>
        <w:rPr>
          <w:rFonts w:eastAsia="方正仿宋_GBK"/>
          <w:color w:val="000000"/>
          <w:sz w:val="32"/>
          <w:szCs w:val="32"/>
        </w:rPr>
        <w:t>截至</w:t>
      </w: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年底，南京市人社局（本级）机关资产总额为</w:t>
      </w:r>
      <w:r>
        <w:rPr>
          <w:rFonts w:eastAsia="方正仿宋_GBK" w:hint="eastAsia"/>
          <w:color w:val="000000"/>
          <w:sz w:val="32"/>
          <w:szCs w:val="32"/>
        </w:rPr>
        <w:t>1518.45</w:t>
      </w:r>
      <w:r>
        <w:rPr>
          <w:rFonts w:eastAsia="方正仿宋_GBK"/>
          <w:color w:val="000000"/>
          <w:sz w:val="32"/>
          <w:szCs w:val="32"/>
        </w:rPr>
        <w:t>万元。流动资产</w:t>
      </w:r>
      <w:r>
        <w:rPr>
          <w:rFonts w:eastAsia="方正仿宋_GBK" w:hint="eastAsia"/>
          <w:color w:val="000000"/>
          <w:sz w:val="32"/>
          <w:szCs w:val="32"/>
        </w:rPr>
        <w:t>1017.03</w:t>
      </w:r>
      <w:r>
        <w:rPr>
          <w:rFonts w:eastAsia="方正仿宋_GBK"/>
          <w:color w:val="000000"/>
          <w:sz w:val="32"/>
          <w:szCs w:val="32"/>
        </w:rPr>
        <w:t>万元，其中货币资金</w:t>
      </w:r>
      <w:r>
        <w:rPr>
          <w:rFonts w:eastAsia="方正仿宋_GBK" w:hint="eastAsia"/>
          <w:color w:val="000000"/>
          <w:sz w:val="32"/>
          <w:szCs w:val="32"/>
        </w:rPr>
        <w:t>1003.03</w:t>
      </w:r>
      <w:r>
        <w:rPr>
          <w:rFonts w:eastAsia="方正仿宋_GBK"/>
          <w:color w:val="000000"/>
          <w:sz w:val="32"/>
          <w:szCs w:val="32"/>
        </w:rPr>
        <w:t>万元，其他应收款净额</w:t>
      </w:r>
      <w:r>
        <w:rPr>
          <w:rFonts w:eastAsia="方正仿宋_GBK" w:hint="eastAsia"/>
          <w:color w:val="000000"/>
          <w:sz w:val="32"/>
          <w:szCs w:val="32"/>
        </w:rPr>
        <w:t>14</w:t>
      </w:r>
      <w:r>
        <w:rPr>
          <w:rFonts w:eastAsia="方正仿宋_GBK"/>
          <w:color w:val="000000"/>
          <w:sz w:val="32"/>
          <w:szCs w:val="32"/>
        </w:rPr>
        <w:t>万元。非流动资产</w:t>
      </w:r>
      <w:r>
        <w:rPr>
          <w:rFonts w:eastAsia="方正仿宋_GBK" w:hint="eastAsia"/>
          <w:color w:val="000000"/>
          <w:sz w:val="32"/>
          <w:szCs w:val="32"/>
        </w:rPr>
        <w:t>501.42</w:t>
      </w:r>
      <w:r>
        <w:rPr>
          <w:rFonts w:eastAsia="方正仿宋_GBK"/>
          <w:color w:val="000000"/>
          <w:sz w:val="32"/>
          <w:szCs w:val="32"/>
        </w:rPr>
        <w:t>万元，其中固定资产净值</w:t>
      </w:r>
      <w:r>
        <w:rPr>
          <w:rFonts w:eastAsia="方正仿宋_GBK" w:hint="eastAsia"/>
          <w:color w:val="000000"/>
          <w:sz w:val="32"/>
          <w:szCs w:val="32"/>
        </w:rPr>
        <w:t>420.14</w:t>
      </w:r>
      <w:r>
        <w:rPr>
          <w:rFonts w:eastAsia="方正仿宋_GBK"/>
          <w:color w:val="000000"/>
          <w:sz w:val="32"/>
          <w:szCs w:val="32"/>
        </w:rPr>
        <w:t>万元</w:t>
      </w:r>
      <w:r>
        <w:rPr>
          <w:rFonts w:eastAsia="方正仿宋_GBK" w:hint="eastAsia"/>
          <w:color w:val="000000"/>
          <w:sz w:val="32"/>
          <w:szCs w:val="32"/>
        </w:rPr>
        <w:t>、无形资产净值</w:t>
      </w:r>
      <w:r>
        <w:rPr>
          <w:rFonts w:eastAsia="方正仿宋_GBK" w:hint="eastAsia"/>
          <w:color w:val="000000"/>
          <w:sz w:val="32"/>
          <w:szCs w:val="32"/>
        </w:rPr>
        <w:t>81.28</w:t>
      </w:r>
      <w:r>
        <w:rPr>
          <w:rFonts w:eastAsia="方正仿宋_GBK" w:hint="eastAsia"/>
          <w:color w:val="000000"/>
          <w:sz w:val="32"/>
          <w:szCs w:val="32"/>
        </w:rPr>
        <w:t>万元</w:t>
      </w:r>
      <w:r>
        <w:rPr>
          <w:rFonts w:eastAsia="方正仿宋_GBK"/>
          <w:color w:val="000000"/>
          <w:sz w:val="32"/>
          <w:szCs w:val="32"/>
        </w:rPr>
        <w:t>。</w:t>
      </w:r>
    </w:p>
    <w:p w14:paraId="24750AF1" w14:textId="77777777" w:rsidR="00260726" w:rsidRDefault="00E936D8">
      <w:pPr>
        <w:adjustRightInd w:val="0"/>
        <w:snapToGrid w:val="0"/>
        <w:spacing w:line="560" w:lineRule="exact"/>
        <w:ind w:firstLineChars="200" w:firstLine="640"/>
        <w:rPr>
          <w:rFonts w:eastAsia="方正楷体_GBK"/>
          <w:color w:val="000000"/>
          <w:kern w:val="0"/>
          <w:sz w:val="32"/>
          <w:szCs w:val="32"/>
        </w:rPr>
      </w:pPr>
      <w:r>
        <w:rPr>
          <w:rFonts w:eastAsia="方正楷体_GBK"/>
          <w:color w:val="000000"/>
          <w:kern w:val="0"/>
          <w:sz w:val="32"/>
          <w:szCs w:val="32"/>
        </w:rPr>
        <w:t>（二）单位收支情况</w:t>
      </w:r>
    </w:p>
    <w:p w14:paraId="55212087"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年度南京市人社局（本级）收入年初预算</w:t>
      </w:r>
      <w:r>
        <w:rPr>
          <w:rFonts w:eastAsia="方正仿宋_GBK" w:hint="eastAsia"/>
          <w:color w:val="000000"/>
          <w:sz w:val="32"/>
          <w:szCs w:val="32"/>
        </w:rPr>
        <w:t>32829.17</w:t>
      </w:r>
      <w:r>
        <w:rPr>
          <w:rFonts w:eastAsia="方正仿宋_GBK"/>
          <w:color w:val="000000"/>
          <w:sz w:val="32"/>
          <w:szCs w:val="32"/>
        </w:rPr>
        <w:t>万元，调整后全年收入部门预算共安排</w:t>
      </w:r>
      <w:r>
        <w:rPr>
          <w:rFonts w:eastAsia="方正仿宋_GBK" w:hint="eastAsia"/>
          <w:color w:val="000000"/>
          <w:sz w:val="32"/>
          <w:szCs w:val="32"/>
        </w:rPr>
        <w:t>11796.48</w:t>
      </w:r>
      <w:r>
        <w:rPr>
          <w:rFonts w:eastAsia="方正仿宋_GBK"/>
          <w:color w:val="000000"/>
          <w:sz w:val="32"/>
          <w:szCs w:val="32"/>
        </w:rPr>
        <w:t>万元，部门决算收入</w:t>
      </w:r>
      <w:r>
        <w:rPr>
          <w:rFonts w:eastAsia="方正仿宋_GBK" w:hint="eastAsia"/>
          <w:color w:val="000000"/>
          <w:sz w:val="32"/>
          <w:szCs w:val="32"/>
        </w:rPr>
        <w:t>11413.94</w:t>
      </w:r>
      <w:r>
        <w:rPr>
          <w:rFonts w:eastAsia="方正仿宋_GBK"/>
          <w:color w:val="000000"/>
          <w:sz w:val="32"/>
          <w:szCs w:val="32"/>
        </w:rPr>
        <w:t>万元。</w:t>
      </w:r>
    </w:p>
    <w:p w14:paraId="05E932B6"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年度南京市人社局（本级）支出年初预算</w:t>
      </w:r>
      <w:r>
        <w:rPr>
          <w:rFonts w:eastAsia="方正仿宋_GBK" w:hint="eastAsia"/>
          <w:color w:val="000000"/>
          <w:sz w:val="32"/>
          <w:szCs w:val="32"/>
        </w:rPr>
        <w:t>32829.17</w:t>
      </w:r>
      <w:r>
        <w:rPr>
          <w:rFonts w:eastAsia="方正仿宋_GBK"/>
          <w:color w:val="000000"/>
          <w:sz w:val="32"/>
          <w:szCs w:val="32"/>
        </w:rPr>
        <w:t>万元，其中基本支出安排</w:t>
      </w:r>
      <w:r>
        <w:rPr>
          <w:rFonts w:eastAsia="方正仿宋_GBK" w:hint="eastAsia"/>
          <w:color w:val="000000"/>
          <w:sz w:val="32"/>
          <w:szCs w:val="32"/>
        </w:rPr>
        <w:t>7072.95</w:t>
      </w:r>
      <w:r>
        <w:rPr>
          <w:rFonts w:eastAsia="方正仿宋_GBK"/>
          <w:color w:val="000000"/>
          <w:sz w:val="32"/>
          <w:szCs w:val="32"/>
        </w:rPr>
        <w:t>万元，项目支出安排</w:t>
      </w:r>
      <w:r>
        <w:rPr>
          <w:rFonts w:eastAsia="方正仿宋_GBK" w:hint="eastAsia"/>
          <w:color w:val="000000"/>
          <w:sz w:val="32"/>
          <w:szCs w:val="32"/>
        </w:rPr>
        <w:t>25756.22</w:t>
      </w:r>
      <w:r>
        <w:rPr>
          <w:rFonts w:eastAsia="方正仿宋_GBK"/>
          <w:color w:val="000000"/>
          <w:sz w:val="32"/>
          <w:szCs w:val="32"/>
        </w:rPr>
        <w:t>万元。调整后全年支出部门预算共安排</w:t>
      </w:r>
      <w:r>
        <w:rPr>
          <w:rFonts w:eastAsia="方正仿宋_GBK" w:hint="eastAsia"/>
          <w:color w:val="000000"/>
          <w:sz w:val="32"/>
          <w:szCs w:val="32"/>
        </w:rPr>
        <w:t>11796.48</w:t>
      </w:r>
      <w:r>
        <w:rPr>
          <w:rFonts w:eastAsia="方正仿宋_GBK"/>
          <w:color w:val="000000"/>
          <w:sz w:val="32"/>
          <w:szCs w:val="32"/>
        </w:rPr>
        <w:t>万元，其中基本支出</w:t>
      </w:r>
      <w:r>
        <w:rPr>
          <w:rFonts w:eastAsia="方正仿宋_GBK" w:hint="eastAsia"/>
          <w:color w:val="000000"/>
          <w:sz w:val="32"/>
          <w:szCs w:val="32"/>
        </w:rPr>
        <w:t>7461.27</w:t>
      </w:r>
      <w:r>
        <w:rPr>
          <w:rFonts w:eastAsia="方正仿宋_GBK"/>
          <w:color w:val="000000"/>
          <w:sz w:val="32"/>
          <w:szCs w:val="32"/>
        </w:rPr>
        <w:t>万元，项目支出</w:t>
      </w:r>
      <w:r>
        <w:rPr>
          <w:rFonts w:eastAsia="方正仿宋_GBK" w:hint="eastAsia"/>
          <w:color w:val="000000"/>
          <w:sz w:val="32"/>
          <w:szCs w:val="32"/>
        </w:rPr>
        <w:t>4335.21</w:t>
      </w:r>
      <w:r>
        <w:rPr>
          <w:rFonts w:eastAsia="方正仿宋_GBK"/>
          <w:color w:val="000000"/>
          <w:sz w:val="32"/>
          <w:szCs w:val="32"/>
        </w:rPr>
        <w:t>万元。部门决算支出</w:t>
      </w:r>
      <w:r>
        <w:rPr>
          <w:rFonts w:eastAsia="方正仿宋_GBK" w:hint="eastAsia"/>
          <w:color w:val="000000"/>
          <w:sz w:val="32"/>
          <w:szCs w:val="32"/>
        </w:rPr>
        <w:t>11413.94</w:t>
      </w:r>
      <w:r>
        <w:rPr>
          <w:rFonts w:eastAsia="方正仿宋_GBK"/>
          <w:color w:val="000000"/>
          <w:sz w:val="32"/>
          <w:szCs w:val="32"/>
        </w:rPr>
        <w:t>万元，部门预算资金拨付到位率为</w:t>
      </w:r>
      <w:r>
        <w:rPr>
          <w:rFonts w:eastAsia="方正仿宋_GBK"/>
          <w:color w:val="000000"/>
          <w:sz w:val="32"/>
          <w:szCs w:val="32"/>
        </w:rPr>
        <w:t>100%</w:t>
      </w:r>
      <w:r>
        <w:rPr>
          <w:rFonts w:eastAsia="方正仿宋_GBK"/>
          <w:color w:val="000000"/>
          <w:sz w:val="32"/>
          <w:szCs w:val="32"/>
        </w:rPr>
        <w:t>，</w:t>
      </w:r>
      <w:r>
        <w:rPr>
          <w:rFonts w:eastAsia="仿宋"/>
          <w:color w:val="000000"/>
          <w:sz w:val="32"/>
          <w:szCs w:val="32"/>
        </w:rPr>
        <w:t>调整后全年部门</w:t>
      </w:r>
      <w:r>
        <w:rPr>
          <w:rFonts w:eastAsia="方正仿宋_GBK"/>
          <w:color w:val="000000"/>
          <w:sz w:val="32"/>
          <w:szCs w:val="32"/>
        </w:rPr>
        <w:t>预算执行率为</w:t>
      </w:r>
      <w:r>
        <w:rPr>
          <w:rFonts w:eastAsia="方正仿宋_GBK"/>
          <w:color w:val="000000"/>
          <w:sz w:val="32"/>
          <w:szCs w:val="32"/>
        </w:rPr>
        <w:t>9</w:t>
      </w:r>
      <w:r>
        <w:rPr>
          <w:rFonts w:eastAsia="方正仿宋_GBK" w:hint="eastAsia"/>
          <w:color w:val="000000"/>
          <w:sz w:val="32"/>
          <w:szCs w:val="32"/>
        </w:rPr>
        <w:t>6.76</w:t>
      </w:r>
      <w:r>
        <w:rPr>
          <w:rFonts w:eastAsia="方正仿宋_GBK"/>
          <w:color w:val="000000"/>
          <w:sz w:val="32"/>
          <w:szCs w:val="32"/>
        </w:rPr>
        <w:t>%</w:t>
      </w:r>
      <w:r>
        <w:rPr>
          <w:rFonts w:eastAsia="方正仿宋_GBK"/>
          <w:color w:val="000000"/>
          <w:sz w:val="32"/>
          <w:szCs w:val="32"/>
        </w:rPr>
        <w:t>。</w:t>
      </w:r>
    </w:p>
    <w:p w14:paraId="5F1DCFF0" w14:textId="77777777" w:rsidR="00260726" w:rsidRDefault="00E936D8">
      <w:pPr>
        <w:adjustRightInd w:val="0"/>
        <w:snapToGrid w:val="0"/>
        <w:spacing w:line="560" w:lineRule="exact"/>
        <w:ind w:firstLineChars="200" w:firstLine="640"/>
        <w:rPr>
          <w:rFonts w:eastAsia="方正楷体_GBK"/>
          <w:color w:val="000000"/>
          <w:kern w:val="0"/>
          <w:sz w:val="32"/>
          <w:szCs w:val="32"/>
        </w:rPr>
      </w:pPr>
      <w:r>
        <w:rPr>
          <w:rFonts w:eastAsia="方正楷体_GBK"/>
          <w:color w:val="000000"/>
          <w:kern w:val="0"/>
          <w:sz w:val="32"/>
          <w:szCs w:val="32"/>
        </w:rPr>
        <w:t>（三）绩效目标</w:t>
      </w:r>
    </w:p>
    <w:p w14:paraId="1C4FCE9B" w14:textId="35B3CB90" w:rsidR="00260726" w:rsidRDefault="00E936D8">
      <w:pPr>
        <w:pStyle w:val="5"/>
        <w:adjustRightInd w:val="0"/>
        <w:snapToGrid w:val="0"/>
        <w:spacing w:before="0" w:after="0" w:line="560" w:lineRule="exact"/>
        <w:ind w:firstLine="640"/>
        <w:rPr>
          <w:rFonts w:eastAsia="方正仿宋_GBK"/>
          <w:b w:val="0"/>
          <w:sz w:val="32"/>
          <w:szCs w:val="32"/>
          <w:lang w:val="zh-CN" w:bidi="en-US"/>
        </w:rPr>
      </w:pPr>
      <w:r>
        <w:rPr>
          <w:rFonts w:eastAsia="方正仿宋_GBK"/>
          <w:b w:val="0"/>
          <w:sz w:val="32"/>
          <w:szCs w:val="32"/>
          <w:lang w:bidi="en-US"/>
        </w:rPr>
        <w:t>1</w:t>
      </w:r>
      <w:r>
        <w:rPr>
          <w:rFonts w:eastAsia="方正仿宋_GBK"/>
          <w:b w:val="0"/>
          <w:sz w:val="32"/>
          <w:szCs w:val="32"/>
          <w:lang w:val="zh-CN" w:bidi="en-US"/>
        </w:rPr>
        <w:t>.</w:t>
      </w:r>
      <w:r w:rsidR="00BA59C7">
        <w:rPr>
          <w:rFonts w:eastAsia="方正仿宋_GBK"/>
          <w:b w:val="0"/>
          <w:sz w:val="32"/>
          <w:szCs w:val="32"/>
          <w:lang w:val="zh-CN" w:bidi="en-US"/>
        </w:rPr>
        <w:t xml:space="preserve"> </w:t>
      </w:r>
      <w:r>
        <w:rPr>
          <w:rFonts w:eastAsia="方正仿宋_GBK"/>
          <w:b w:val="0"/>
          <w:sz w:val="32"/>
          <w:szCs w:val="32"/>
          <w:lang w:val="zh-CN" w:bidi="en-US"/>
        </w:rPr>
        <w:t>中长期发展目标</w:t>
      </w:r>
    </w:p>
    <w:p w14:paraId="35D4C750" w14:textId="77777777" w:rsidR="00260726" w:rsidRDefault="00E936D8">
      <w:pPr>
        <w:pStyle w:val="5"/>
        <w:adjustRightInd w:val="0"/>
        <w:snapToGrid w:val="0"/>
        <w:spacing w:before="0" w:after="0" w:line="560" w:lineRule="exact"/>
        <w:ind w:firstLine="640"/>
        <w:rPr>
          <w:rFonts w:eastAsia="方正仿宋_GBK"/>
          <w:b w:val="0"/>
          <w:sz w:val="32"/>
          <w:szCs w:val="32"/>
          <w:lang w:val="zh-CN" w:bidi="en-US"/>
        </w:rPr>
      </w:pPr>
      <w:r>
        <w:rPr>
          <w:rFonts w:eastAsia="方正仿宋_GBK"/>
          <w:b w:val="0"/>
          <w:sz w:val="32"/>
          <w:szCs w:val="32"/>
          <w:lang w:val="zh-CN" w:bidi="en-US"/>
        </w:rPr>
        <w:t>根据《南京市</w:t>
      </w:r>
      <w:r>
        <w:rPr>
          <w:rFonts w:eastAsia="方正仿宋_GBK"/>
          <w:b w:val="0"/>
          <w:sz w:val="32"/>
          <w:szCs w:val="32"/>
          <w:lang w:val="zh-CN" w:bidi="en-US"/>
        </w:rPr>
        <w:t>“</w:t>
      </w:r>
      <w:r>
        <w:rPr>
          <w:rFonts w:eastAsia="方正仿宋_GBK"/>
          <w:b w:val="0"/>
          <w:sz w:val="32"/>
          <w:szCs w:val="32"/>
          <w:lang w:val="zh-CN" w:bidi="en-US"/>
        </w:rPr>
        <w:t>十四五</w:t>
      </w:r>
      <w:r>
        <w:rPr>
          <w:rFonts w:eastAsia="方正仿宋_GBK"/>
          <w:b w:val="0"/>
          <w:sz w:val="32"/>
          <w:szCs w:val="32"/>
          <w:lang w:val="zh-CN" w:bidi="en-US"/>
        </w:rPr>
        <w:t>”</w:t>
      </w:r>
      <w:r>
        <w:rPr>
          <w:rFonts w:eastAsia="方正仿宋_GBK"/>
          <w:b w:val="0"/>
          <w:sz w:val="32"/>
          <w:szCs w:val="32"/>
          <w:lang w:val="zh-CN" w:bidi="en-US"/>
        </w:rPr>
        <w:t>人力资源和社会保障发展规划》，主要发展目标如下：</w:t>
      </w:r>
    </w:p>
    <w:p w14:paraId="3BFBF4DF" w14:textId="77777777" w:rsidR="00260726" w:rsidRDefault="00E936D8">
      <w:pPr>
        <w:pStyle w:val="5"/>
        <w:adjustRightInd w:val="0"/>
        <w:snapToGrid w:val="0"/>
        <w:spacing w:before="0" w:after="0" w:line="560" w:lineRule="exact"/>
        <w:ind w:firstLine="640"/>
        <w:rPr>
          <w:rFonts w:eastAsia="方正仿宋_GBK"/>
          <w:b w:val="0"/>
          <w:sz w:val="32"/>
          <w:szCs w:val="32"/>
          <w:lang w:bidi="en-US"/>
        </w:rPr>
      </w:pPr>
      <w:r>
        <w:rPr>
          <w:rFonts w:eastAsia="方正仿宋_GBK"/>
          <w:b w:val="0"/>
          <w:sz w:val="32"/>
          <w:szCs w:val="32"/>
          <w:lang w:val="zh-CN" w:bidi="en-US"/>
        </w:rPr>
        <w:t>（</w:t>
      </w:r>
      <w:r>
        <w:rPr>
          <w:rFonts w:eastAsia="方正仿宋_GBK"/>
          <w:b w:val="0"/>
          <w:sz w:val="32"/>
          <w:szCs w:val="32"/>
          <w:lang w:val="zh-CN" w:bidi="en-US"/>
        </w:rPr>
        <w:t>1</w:t>
      </w:r>
      <w:r>
        <w:rPr>
          <w:rFonts w:eastAsia="方正仿宋_GBK"/>
          <w:b w:val="0"/>
          <w:sz w:val="32"/>
          <w:szCs w:val="32"/>
          <w:lang w:val="zh-CN" w:bidi="en-US"/>
        </w:rPr>
        <w:t>）实现更加充分更高质量就业。就业优先政策全面强化，就业总量更加稳定，就业结构不断改善，重点群体就业保障</w:t>
      </w:r>
      <w:r>
        <w:rPr>
          <w:rFonts w:eastAsia="方正仿宋_GBK"/>
          <w:b w:val="0"/>
          <w:sz w:val="32"/>
          <w:szCs w:val="32"/>
          <w:lang w:bidi="en-US"/>
        </w:rPr>
        <w:t>有力，创业环境不断优化，劳动者就业能力逐步提升，就业局势保持总体稳定。</w:t>
      </w:r>
      <w:r>
        <w:rPr>
          <w:rFonts w:eastAsia="方正仿宋_GBK"/>
          <w:b w:val="0"/>
          <w:sz w:val="32"/>
          <w:szCs w:val="32"/>
          <w:lang w:bidi="en-US"/>
        </w:rPr>
        <w:t>“</w:t>
      </w:r>
      <w:r>
        <w:rPr>
          <w:rFonts w:eastAsia="方正仿宋_GBK"/>
          <w:b w:val="0"/>
          <w:sz w:val="32"/>
          <w:szCs w:val="32"/>
          <w:lang w:bidi="en-US"/>
        </w:rPr>
        <w:t>十四五</w:t>
      </w:r>
      <w:r>
        <w:rPr>
          <w:rFonts w:eastAsia="方正仿宋_GBK"/>
          <w:b w:val="0"/>
          <w:sz w:val="32"/>
          <w:szCs w:val="32"/>
          <w:lang w:bidi="en-US"/>
        </w:rPr>
        <w:t>”</w:t>
      </w:r>
      <w:r>
        <w:rPr>
          <w:rFonts w:eastAsia="方正仿宋_GBK"/>
          <w:b w:val="0"/>
          <w:sz w:val="32"/>
          <w:szCs w:val="32"/>
          <w:lang w:bidi="en-US"/>
        </w:rPr>
        <w:t>期间，城镇新增就业人数累计达</w:t>
      </w:r>
      <w:r>
        <w:rPr>
          <w:rFonts w:eastAsia="方正仿宋_GBK"/>
          <w:b w:val="0"/>
          <w:sz w:val="32"/>
          <w:szCs w:val="32"/>
          <w:lang w:bidi="en-US"/>
        </w:rPr>
        <w:t>130</w:t>
      </w:r>
      <w:r>
        <w:rPr>
          <w:rFonts w:eastAsia="方正仿宋_GBK"/>
          <w:b w:val="0"/>
          <w:sz w:val="32"/>
          <w:szCs w:val="32"/>
          <w:lang w:bidi="en-US"/>
        </w:rPr>
        <w:t>万</w:t>
      </w:r>
      <w:r>
        <w:rPr>
          <w:rFonts w:eastAsia="方正仿宋_GBK"/>
          <w:b w:val="0"/>
          <w:sz w:val="32"/>
          <w:szCs w:val="32"/>
          <w:lang w:bidi="en-US"/>
        </w:rPr>
        <w:lastRenderedPageBreak/>
        <w:t>人，城镇调查失业率控制在</w:t>
      </w:r>
      <w:r>
        <w:rPr>
          <w:rFonts w:eastAsia="方正仿宋_GBK"/>
          <w:b w:val="0"/>
          <w:sz w:val="32"/>
          <w:szCs w:val="32"/>
          <w:lang w:bidi="en-US"/>
        </w:rPr>
        <w:t>5%</w:t>
      </w:r>
      <w:r>
        <w:rPr>
          <w:rFonts w:eastAsia="方正仿宋_GBK"/>
          <w:b w:val="0"/>
          <w:sz w:val="32"/>
          <w:szCs w:val="32"/>
          <w:lang w:bidi="en-US"/>
        </w:rPr>
        <w:t>左右。</w:t>
      </w:r>
    </w:p>
    <w:p w14:paraId="09060DDA" w14:textId="77777777" w:rsidR="00260726" w:rsidRDefault="00E936D8">
      <w:pPr>
        <w:pStyle w:val="5"/>
        <w:adjustRightInd w:val="0"/>
        <w:snapToGrid w:val="0"/>
        <w:spacing w:before="0" w:after="0" w:line="560" w:lineRule="exact"/>
        <w:ind w:firstLine="640"/>
        <w:rPr>
          <w:rFonts w:eastAsia="方正仿宋_GBK"/>
          <w:b w:val="0"/>
          <w:sz w:val="32"/>
          <w:szCs w:val="32"/>
          <w:lang w:bidi="en-US"/>
        </w:rPr>
      </w:pPr>
      <w:r>
        <w:rPr>
          <w:rFonts w:eastAsia="方正仿宋_GBK"/>
          <w:b w:val="0"/>
          <w:sz w:val="32"/>
          <w:szCs w:val="32"/>
          <w:lang w:val="zh-CN" w:bidi="en-US"/>
        </w:rPr>
        <w:t>（</w:t>
      </w:r>
      <w:r>
        <w:rPr>
          <w:rFonts w:eastAsia="方正仿宋_GBK"/>
          <w:b w:val="0"/>
          <w:sz w:val="32"/>
          <w:szCs w:val="32"/>
          <w:lang w:val="zh-CN" w:bidi="en-US"/>
        </w:rPr>
        <w:t>2</w:t>
      </w:r>
      <w:r>
        <w:rPr>
          <w:rFonts w:eastAsia="方正仿宋_GBK"/>
          <w:b w:val="0"/>
          <w:sz w:val="32"/>
          <w:szCs w:val="32"/>
          <w:lang w:val="zh-CN" w:bidi="en-US"/>
        </w:rPr>
        <w:t>）</w:t>
      </w:r>
      <w:r>
        <w:rPr>
          <w:rFonts w:eastAsia="方正仿宋_GBK"/>
          <w:b w:val="0"/>
          <w:sz w:val="32"/>
          <w:szCs w:val="32"/>
          <w:lang w:bidi="en-US"/>
        </w:rPr>
        <w:t>健全覆盖全民的多层次社会保障体系。社会保障体系公平性、统一性、可持续性显著增强，社会保险统筹层次和质量进一步提升，法定人群全覆盖得到巩固，社会保险待遇水平随经济发展逐步提高。</w:t>
      </w:r>
      <w:r>
        <w:rPr>
          <w:rFonts w:eastAsia="方正仿宋_GBK"/>
          <w:b w:val="0"/>
          <w:sz w:val="32"/>
          <w:szCs w:val="32"/>
          <w:lang w:bidi="en-US"/>
        </w:rPr>
        <w:t>“</w:t>
      </w:r>
      <w:r>
        <w:rPr>
          <w:rFonts w:eastAsia="方正仿宋_GBK"/>
          <w:b w:val="0"/>
          <w:sz w:val="32"/>
          <w:szCs w:val="32"/>
          <w:lang w:bidi="en-US"/>
        </w:rPr>
        <w:t>十四五</w:t>
      </w:r>
      <w:r>
        <w:rPr>
          <w:rFonts w:eastAsia="方正仿宋_GBK"/>
          <w:b w:val="0"/>
          <w:sz w:val="32"/>
          <w:szCs w:val="32"/>
          <w:lang w:bidi="en-US"/>
        </w:rPr>
        <w:t>”</w:t>
      </w:r>
      <w:r>
        <w:rPr>
          <w:rFonts w:eastAsia="方正仿宋_GBK"/>
          <w:b w:val="0"/>
          <w:sz w:val="32"/>
          <w:szCs w:val="32"/>
          <w:lang w:bidi="en-US"/>
        </w:rPr>
        <w:t>期末，城乡基本养老、失业、工伤保险参保人数分别达</w:t>
      </w:r>
      <w:r>
        <w:rPr>
          <w:rFonts w:eastAsia="方正仿宋_GBK"/>
          <w:b w:val="0"/>
          <w:sz w:val="32"/>
          <w:szCs w:val="32"/>
          <w:lang w:bidi="en-US"/>
        </w:rPr>
        <w:t>420</w:t>
      </w:r>
      <w:r>
        <w:rPr>
          <w:rFonts w:eastAsia="方正仿宋_GBK"/>
          <w:b w:val="0"/>
          <w:sz w:val="32"/>
          <w:szCs w:val="32"/>
          <w:lang w:bidi="en-US"/>
        </w:rPr>
        <w:t>万人、</w:t>
      </w:r>
      <w:r>
        <w:rPr>
          <w:rFonts w:eastAsia="方正仿宋_GBK"/>
          <w:b w:val="0"/>
          <w:sz w:val="32"/>
          <w:szCs w:val="32"/>
          <w:lang w:bidi="en-US"/>
        </w:rPr>
        <w:t>350</w:t>
      </w:r>
      <w:r>
        <w:rPr>
          <w:rFonts w:eastAsia="方正仿宋_GBK"/>
          <w:b w:val="0"/>
          <w:sz w:val="32"/>
          <w:szCs w:val="32"/>
          <w:lang w:bidi="en-US"/>
        </w:rPr>
        <w:t>万人、</w:t>
      </w:r>
      <w:r>
        <w:rPr>
          <w:rFonts w:eastAsia="方正仿宋_GBK"/>
          <w:b w:val="0"/>
          <w:sz w:val="32"/>
          <w:szCs w:val="32"/>
          <w:lang w:bidi="en-US"/>
        </w:rPr>
        <w:t>363</w:t>
      </w:r>
      <w:r>
        <w:rPr>
          <w:rFonts w:eastAsia="方正仿宋_GBK"/>
          <w:b w:val="0"/>
          <w:sz w:val="32"/>
          <w:szCs w:val="32"/>
          <w:lang w:bidi="en-US"/>
        </w:rPr>
        <w:t>万人，</w:t>
      </w:r>
      <w:r>
        <w:rPr>
          <w:rFonts w:eastAsia="方正仿宋_GBK" w:hint="eastAsia"/>
          <w:b w:val="0"/>
          <w:sz w:val="32"/>
          <w:szCs w:val="32"/>
          <w:lang w:bidi="en-US"/>
        </w:rPr>
        <w:t>城乡居民基本养老保险</w:t>
      </w:r>
      <w:r>
        <w:rPr>
          <w:rFonts w:eastAsia="方正仿宋_GBK"/>
          <w:b w:val="0"/>
          <w:sz w:val="32"/>
          <w:szCs w:val="32"/>
          <w:lang w:bidi="en-US"/>
        </w:rPr>
        <w:t>参保缴费率保持在</w:t>
      </w:r>
      <w:r>
        <w:rPr>
          <w:rFonts w:eastAsia="方正仿宋_GBK"/>
          <w:b w:val="0"/>
          <w:sz w:val="32"/>
          <w:szCs w:val="32"/>
          <w:lang w:bidi="en-US"/>
        </w:rPr>
        <w:t>90%</w:t>
      </w:r>
      <w:r>
        <w:rPr>
          <w:rFonts w:eastAsia="方正仿宋_GBK"/>
          <w:b w:val="0"/>
          <w:sz w:val="32"/>
          <w:szCs w:val="32"/>
          <w:lang w:bidi="en-US"/>
        </w:rPr>
        <w:t>以上。</w:t>
      </w:r>
    </w:p>
    <w:p w14:paraId="7C10B0F9" w14:textId="77777777" w:rsidR="00260726" w:rsidRDefault="00E936D8">
      <w:pPr>
        <w:pStyle w:val="5"/>
        <w:adjustRightInd w:val="0"/>
        <w:snapToGrid w:val="0"/>
        <w:spacing w:before="0" w:after="0" w:line="560" w:lineRule="exact"/>
        <w:ind w:firstLine="640"/>
        <w:rPr>
          <w:rFonts w:eastAsia="方正仿宋_GBK"/>
          <w:b w:val="0"/>
          <w:sz w:val="32"/>
          <w:szCs w:val="32"/>
          <w:lang w:bidi="en-US"/>
        </w:rPr>
      </w:pPr>
      <w:r>
        <w:rPr>
          <w:rFonts w:eastAsia="方正仿宋_GBK"/>
          <w:b w:val="0"/>
          <w:sz w:val="32"/>
          <w:szCs w:val="32"/>
          <w:lang w:val="zh-CN" w:bidi="en-US"/>
        </w:rPr>
        <w:t>（</w:t>
      </w:r>
      <w:r>
        <w:rPr>
          <w:rFonts w:eastAsia="方正仿宋_GBK"/>
          <w:b w:val="0"/>
          <w:sz w:val="32"/>
          <w:szCs w:val="32"/>
          <w:lang w:val="zh-CN" w:bidi="en-US"/>
        </w:rPr>
        <w:t>3</w:t>
      </w:r>
      <w:r>
        <w:rPr>
          <w:rFonts w:eastAsia="方正仿宋_GBK"/>
          <w:b w:val="0"/>
          <w:sz w:val="32"/>
          <w:szCs w:val="32"/>
          <w:lang w:val="zh-CN" w:bidi="en-US"/>
        </w:rPr>
        <w:t>）</w:t>
      </w:r>
      <w:r>
        <w:rPr>
          <w:rFonts w:eastAsia="方正仿宋_GBK"/>
          <w:b w:val="0"/>
          <w:sz w:val="32"/>
          <w:szCs w:val="32"/>
          <w:lang w:bidi="en-US"/>
        </w:rPr>
        <w:t>全面提高人才综合竞争力。坚持党对人才工作的全面领导，深化人才发展体制机制改革，面向重点领域、重点产业，着力建设吸引和集聚人才的平台，全方位培养、引进、用好人才，人才集聚水平明显提高、识才爱才敬才环境不断优化、人才竞争比较优势显著增强。</w:t>
      </w:r>
      <w:r>
        <w:rPr>
          <w:rFonts w:eastAsia="方正仿宋_GBK"/>
          <w:b w:val="0"/>
          <w:sz w:val="32"/>
          <w:szCs w:val="32"/>
          <w:lang w:bidi="en-US"/>
        </w:rPr>
        <w:t>“</w:t>
      </w:r>
      <w:r>
        <w:rPr>
          <w:rFonts w:eastAsia="方正仿宋_GBK"/>
          <w:b w:val="0"/>
          <w:sz w:val="32"/>
          <w:szCs w:val="32"/>
          <w:lang w:bidi="en-US"/>
        </w:rPr>
        <w:t>十四五</w:t>
      </w:r>
      <w:r>
        <w:rPr>
          <w:rFonts w:eastAsia="方正仿宋_GBK"/>
          <w:b w:val="0"/>
          <w:sz w:val="32"/>
          <w:szCs w:val="32"/>
          <w:lang w:bidi="en-US"/>
        </w:rPr>
        <w:t>”</w:t>
      </w:r>
      <w:r>
        <w:rPr>
          <w:rFonts w:eastAsia="方正仿宋_GBK"/>
          <w:b w:val="0"/>
          <w:sz w:val="32"/>
          <w:szCs w:val="32"/>
          <w:lang w:bidi="en-US"/>
        </w:rPr>
        <w:t>期末，全市新增专业技术人才</w:t>
      </w:r>
      <w:r>
        <w:rPr>
          <w:rFonts w:eastAsia="方正仿宋_GBK"/>
          <w:b w:val="0"/>
          <w:sz w:val="32"/>
          <w:szCs w:val="32"/>
          <w:lang w:bidi="en-US"/>
        </w:rPr>
        <w:t>30</w:t>
      </w:r>
      <w:r>
        <w:rPr>
          <w:rFonts w:eastAsia="方正仿宋_GBK"/>
          <w:b w:val="0"/>
          <w:sz w:val="32"/>
          <w:szCs w:val="32"/>
          <w:lang w:bidi="en-US"/>
        </w:rPr>
        <w:t>万人，每万劳动力中高技能人才数</w:t>
      </w:r>
      <w:r>
        <w:rPr>
          <w:rFonts w:eastAsia="方正仿宋_GBK"/>
          <w:b w:val="0"/>
          <w:sz w:val="32"/>
          <w:szCs w:val="32"/>
          <w:lang w:bidi="en-US"/>
        </w:rPr>
        <w:t>1180</w:t>
      </w:r>
      <w:r>
        <w:rPr>
          <w:rFonts w:eastAsia="方正仿宋_GBK"/>
          <w:b w:val="0"/>
          <w:sz w:val="32"/>
          <w:szCs w:val="32"/>
          <w:lang w:bidi="en-US"/>
        </w:rPr>
        <w:t>人。</w:t>
      </w:r>
    </w:p>
    <w:p w14:paraId="29B22D68" w14:textId="77777777" w:rsidR="00260726" w:rsidRDefault="00E936D8">
      <w:pPr>
        <w:pStyle w:val="5"/>
        <w:adjustRightInd w:val="0"/>
        <w:snapToGrid w:val="0"/>
        <w:spacing w:before="0" w:after="0" w:line="560" w:lineRule="exact"/>
        <w:ind w:firstLine="640"/>
        <w:rPr>
          <w:rFonts w:eastAsia="方正仿宋_GBK"/>
          <w:b w:val="0"/>
          <w:sz w:val="32"/>
          <w:szCs w:val="32"/>
          <w:lang w:bidi="en-US"/>
        </w:rPr>
      </w:pPr>
      <w:r>
        <w:rPr>
          <w:rFonts w:eastAsia="方正仿宋_GBK"/>
          <w:b w:val="0"/>
          <w:sz w:val="32"/>
          <w:szCs w:val="32"/>
          <w:lang w:val="zh-CN" w:bidi="en-US"/>
        </w:rPr>
        <w:t>（</w:t>
      </w:r>
      <w:r>
        <w:rPr>
          <w:rFonts w:eastAsia="方正仿宋_GBK"/>
          <w:b w:val="0"/>
          <w:sz w:val="32"/>
          <w:szCs w:val="32"/>
          <w:lang w:val="zh-CN" w:bidi="en-US"/>
        </w:rPr>
        <w:t>4</w:t>
      </w:r>
      <w:r>
        <w:rPr>
          <w:rFonts w:eastAsia="方正仿宋_GBK"/>
          <w:b w:val="0"/>
          <w:sz w:val="32"/>
          <w:szCs w:val="32"/>
          <w:lang w:val="zh-CN" w:bidi="en-US"/>
        </w:rPr>
        <w:t>）</w:t>
      </w:r>
      <w:r>
        <w:rPr>
          <w:rFonts w:eastAsia="方正仿宋_GBK"/>
          <w:b w:val="0"/>
          <w:sz w:val="32"/>
          <w:szCs w:val="32"/>
          <w:lang w:bidi="en-US"/>
        </w:rPr>
        <w:t>深化构建和谐劳动关系。具有南京特色的协调劳动关系机制更加健全，劳动关系矛盾纠纷多元预防调处化解效能不断提升，企业用工合法规范，劳动条件不断改善，职工工资合理增长，劳动者合法权益得到有力保障。</w:t>
      </w:r>
      <w:r>
        <w:rPr>
          <w:rFonts w:eastAsia="方正仿宋_GBK"/>
          <w:b w:val="0"/>
          <w:sz w:val="32"/>
          <w:szCs w:val="32"/>
          <w:lang w:bidi="en-US"/>
        </w:rPr>
        <w:t>“</w:t>
      </w:r>
      <w:r>
        <w:rPr>
          <w:rFonts w:eastAsia="方正仿宋_GBK"/>
          <w:b w:val="0"/>
          <w:sz w:val="32"/>
          <w:szCs w:val="32"/>
          <w:lang w:bidi="en-US"/>
        </w:rPr>
        <w:t>十四五</w:t>
      </w:r>
      <w:r>
        <w:rPr>
          <w:rFonts w:eastAsia="方正仿宋_GBK"/>
          <w:b w:val="0"/>
          <w:sz w:val="32"/>
          <w:szCs w:val="32"/>
          <w:lang w:bidi="en-US"/>
        </w:rPr>
        <w:t>”</w:t>
      </w:r>
      <w:r>
        <w:rPr>
          <w:rFonts w:eastAsia="方正仿宋_GBK"/>
          <w:b w:val="0"/>
          <w:sz w:val="32"/>
          <w:szCs w:val="32"/>
          <w:lang w:bidi="en-US"/>
        </w:rPr>
        <w:t>期末，劳动人事争议调解成功率</w:t>
      </w:r>
      <w:r>
        <w:rPr>
          <w:rFonts w:eastAsia="方正仿宋_GBK"/>
          <w:b w:val="0"/>
          <w:sz w:val="32"/>
          <w:szCs w:val="32"/>
          <w:lang w:bidi="en-US"/>
        </w:rPr>
        <w:t>65%</w:t>
      </w:r>
      <w:r>
        <w:rPr>
          <w:rFonts w:eastAsia="方正仿宋_GBK"/>
          <w:b w:val="0"/>
          <w:sz w:val="32"/>
          <w:szCs w:val="32"/>
          <w:lang w:bidi="en-US"/>
        </w:rPr>
        <w:t>，劳动保障监察举报投诉案件结案率</w:t>
      </w:r>
      <w:r>
        <w:rPr>
          <w:rFonts w:eastAsia="方正仿宋_GBK"/>
          <w:b w:val="0"/>
          <w:sz w:val="32"/>
          <w:szCs w:val="32"/>
          <w:lang w:bidi="en-US"/>
        </w:rPr>
        <w:t>98%</w:t>
      </w:r>
      <w:r>
        <w:rPr>
          <w:rFonts w:eastAsia="方正仿宋_GBK"/>
          <w:b w:val="0"/>
          <w:sz w:val="32"/>
          <w:szCs w:val="32"/>
          <w:lang w:bidi="en-US"/>
        </w:rPr>
        <w:t>。</w:t>
      </w:r>
    </w:p>
    <w:p w14:paraId="664C803D" w14:textId="77777777" w:rsidR="00260726" w:rsidRDefault="00E936D8">
      <w:pPr>
        <w:pStyle w:val="5"/>
        <w:adjustRightInd w:val="0"/>
        <w:snapToGrid w:val="0"/>
        <w:spacing w:before="0" w:after="0" w:line="560" w:lineRule="exact"/>
        <w:ind w:firstLine="640"/>
        <w:rPr>
          <w:rFonts w:eastAsia="方正仿宋_GBK"/>
          <w:b w:val="0"/>
          <w:sz w:val="32"/>
          <w:szCs w:val="32"/>
          <w:lang w:bidi="en-US"/>
        </w:rPr>
      </w:pPr>
      <w:r>
        <w:rPr>
          <w:rFonts w:eastAsia="方正仿宋_GBK"/>
          <w:b w:val="0"/>
          <w:sz w:val="32"/>
          <w:szCs w:val="32"/>
          <w:lang w:val="zh-CN" w:bidi="en-US"/>
        </w:rPr>
        <w:t>（</w:t>
      </w:r>
      <w:r>
        <w:rPr>
          <w:rFonts w:eastAsia="方正仿宋_GBK"/>
          <w:b w:val="0"/>
          <w:sz w:val="32"/>
          <w:szCs w:val="32"/>
          <w:lang w:val="zh-CN" w:bidi="en-US"/>
        </w:rPr>
        <w:t>5</w:t>
      </w:r>
      <w:r>
        <w:rPr>
          <w:rFonts w:eastAsia="方正仿宋_GBK"/>
          <w:b w:val="0"/>
          <w:sz w:val="32"/>
          <w:szCs w:val="32"/>
          <w:lang w:val="zh-CN" w:bidi="en-US"/>
        </w:rPr>
        <w:t>）</w:t>
      </w:r>
      <w:r>
        <w:rPr>
          <w:rFonts w:eastAsia="方正仿宋_GBK"/>
          <w:b w:val="0"/>
          <w:sz w:val="32"/>
          <w:szCs w:val="32"/>
          <w:lang w:bidi="en-US"/>
        </w:rPr>
        <w:t>完善人社公共服务体系。人力资源和社会保障公共服务制度和标准体系全面建立，人社一体化信息支撑能力明显增强，社会保障卡</w:t>
      </w:r>
      <w:r>
        <w:rPr>
          <w:rFonts w:eastAsia="方正仿宋_GBK"/>
          <w:b w:val="0"/>
          <w:sz w:val="32"/>
          <w:szCs w:val="32"/>
          <w:lang w:bidi="en-US"/>
        </w:rPr>
        <w:t>“</w:t>
      </w:r>
      <w:r>
        <w:rPr>
          <w:rFonts w:eastAsia="方正仿宋_GBK"/>
          <w:b w:val="0"/>
          <w:sz w:val="32"/>
          <w:szCs w:val="32"/>
          <w:lang w:bidi="en-US"/>
        </w:rPr>
        <w:t>一卡通</w:t>
      </w:r>
      <w:r>
        <w:rPr>
          <w:rFonts w:eastAsia="方正仿宋_GBK"/>
          <w:b w:val="0"/>
          <w:sz w:val="32"/>
          <w:szCs w:val="32"/>
          <w:lang w:bidi="en-US"/>
        </w:rPr>
        <w:t>”</w:t>
      </w:r>
      <w:r>
        <w:rPr>
          <w:rFonts w:eastAsia="方正仿宋_GBK"/>
          <w:b w:val="0"/>
          <w:sz w:val="32"/>
          <w:szCs w:val="32"/>
          <w:lang w:bidi="en-US"/>
        </w:rPr>
        <w:t>加快推进，人社公共服务水平和群众满意度不断提升。</w:t>
      </w:r>
    </w:p>
    <w:p w14:paraId="3952559B" w14:textId="77777777" w:rsidR="00260726" w:rsidRDefault="00E936D8">
      <w:pPr>
        <w:pStyle w:val="5"/>
        <w:adjustRightInd w:val="0"/>
        <w:snapToGrid w:val="0"/>
        <w:spacing w:before="0" w:after="0" w:line="560" w:lineRule="exact"/>
        <w:ind w:firstLine="640"/>
        <w:rPr>
          <w:rFonts w:eastAsia="方正仿宋_GBK"/>
          <w:b w:val="0"/>
          <w:sz w:val="32"/>
          <w:szCs w:val="32"/>
          <w:lang w:bidi="en-US"/>
        </w:rPr>
      </w:pPr>
      <w:r>
        <w:rPr>
          <w:rFonts w:eastAsia="方正仿宋_GBK"/>
          <w:b w:val="0"/>
          <w:sz w:val="32"/>
          <w:szCs w:val="32"/>
          <w:lang w:val="zh-CN" w:bidi="en-US"/>
        </w:rPr>
        <w:t>（</w:t>
      </w:r>
      <w:r>
        <w:rPr>
          <w:rFonts w:eastAsia="方正仿宋_GBK"/>
          <w:b w:val="0"/>
          <w:sz w:val="32"/>
          <w:szCs w:val="32"/>
          <w:lang w:val="zh-CN" w:bidi="en-US"/>
        </w:rPr>
        <w:t>6</w:t>
      </w:r>
      <w:r>
        <w:rPr>
          <w:rFonts w:eastAsia="方正仿宋_GBK"/>
          <w:b w:val="0"/>
          <w:sz w:val="32"/>
          <w:szCs w:val="32"/>
          <w:lang w:val="zh-CN" w:bidi="en-US"/>
        </w:rPr>
        <w:t>）</w:t>
      </w:r>
      <w:r>
        <w:rPr>
          <w:rFonts w:eastAsia="方正仿宋_GBK"/>
          <w:b w:val="0"/>
          <w:sz w:val="32"/>
          <w:szCs w:val="32"/>
          <w:lang w:bidi="en-US"/>
        </w:rPr>
        <w:t>推动区域一体化协调发展。立足服务长江经济带、长</w:t>
      </w:r>
      <w:r>
        <w:rPr>
          <w:rFonts w:eastAsia="方正仿宋_GBK"/>
          <w:b w:val="0"/>
          <w:sz w:val="32"/>
          <w:szCs w:val="32"/>
          <w:lang w:bidi="en-US"/>
        </w:rPr>
        <w:lastRenderedPageBreak/>
        <w:t>三角一体化发展，紧扣一体化、高质量，以推动实现南京都市圈人社领域治理体系和治理能力现代化为目标，勇当长三角人社事业一体化高质量发展的探路者，加快打造长三角人社领域一体化高质量发展引领示范区，率先在长三角城市群中形成南京都市圈人社事业一体化发展新格局。</w:t>
      </w:r>
    </w:p>
    <w:p w14:paraId="2D72A179" w14:textId="14846287" w:rsidR="00260726" w:rsidRDefault="00E936D8">
      <w:pPr>
        <w:pStyle w:val="5"/>
        <w:adjustRightInd w:val="0"/>
        <w:snapToGrid w:val="0"/>
        <w:spacing w:before="0" w:after="0" w:line="560" w:lineRule="exact"/>
        <w:ind w:firstLine="640"/>
        <w:rPr>
          <w:rFonts w:eastAsia="方正仿宋_GBK"/>
          <w:b w:val="0"/>
          <w:sz w:val="32"/>
          <w:szCs w:val="32"/>
          <w:lang w:val="zh-CN" w:bidi="en-US"/>
        </w:rPr>
      </w:pPr>
      <w:r>
        <w:rPr>
          <w:rFonts w:eastAsia="方正仿宋_GBK"/>
          <w:b w:val="0"/>
          <w:sz w:val="32"/>
          <w:szCs w:val="32"/>
          <w:lang w:val="zh-CN" w:bidi="en-US"/>
        </w:rPr>
        <w:t>2.</w:t>
      </w:r>
      <w:r w:rsidR="00BA59C7">
        <w:rPr>
          <w:rFonts w:eastAsia="方正仿宋_GBK"/>
          <w:b w:val="0"/>
          <w:sz w:val="32"/>
          <w:szCs w:val="32"/>
          <w:lang w:val="zh-CN" w:bidi="en-US"/>
        </w:rPr>
        <w:t xml:space="preserve"> </w:t>
      </w:r>
      <w:r>
        <w:rPr>
          <w:rFonts w:eastAsia="方正仿宋_GBK"/>
          <w:b w:val="0"/>
          <w:sz w:val="32"/>
          <w:szCs w:val="32"/>
          <w:lang w:val="zh-CN" w:bidi="en-US"/>
        </w:rPr>
        <w:t>年度重点工作和目标</w:t>
      </w:r>
    </w:p>
    <w:p w14:paraId="59AC109A" w14:textId="77777777" w:rsidR="00260726" w:rsidRDefault="00E936D8">
      <w:pPr>
        <w:pStyle w:val="aa"/>
        <w:adjustRightInd w:val="0"/>
        <w:snapToGrid w:val="0"/>
        <w:spacing w:line="560" w:lineRule="exact"/>
        <w:ind w:firstLine="640"/>
        <w:rPr>
          <w:rFonts w:eastAsia="方正仿宋_GBK"/>
          <w:sz w:val="32"/>
          <w:szCs w:val="32"/>
          <w:lang w:val="zh-CN" w:bidi="en-US"/>
        </w:rPr>
      </w:pPr>
      <w:r>
        <w:rPr>
          <w:rFonts w:eastAsia="方正仿宋_GBK"/>
          <w:sz w:val="32"/>
          <w:szCs w:val="32"/>
          <w:lang w:val="zh-CN" w:bidi="en-US"/>
        </w:rPr>
        <w:t>根据《</w:t>
      </w:r>
      <w:r>
        <w:rPr>
          <w:rFonts w:eastAsia="方正仿宋_GBK"/>
          <w:sz w:val="32"/>
          <w:szCs w:val="32"/>
          <w:lang w:val="zh-CN" w:bidi="en-US"/>
        </w:rPr>
        <w:t>202</w:t>
      </w:r>
      <w:r>
        <w:rPr>
          <w:rFonts w:eastAsia="方正仿宋_GBK" w:hint="eastAsia"/>
          <w:sz w:val="32"/>
          <w:szCs w:val="32"/>
          <w:lang w:bidi="en-US"/>
        </w:rPr>
        <w:t>4</w:t>
      </w:r>
      <w:r>
        <w:rPr>
          <w:rFonts w:eastAsia="方正仿宋_GBK"/>
          <w:sz w:val="32"/>
          <w:szCs w:val="32"/>
          <w:lang w:val="zh-CN" w:bidi="en-US"/>
        </w:rPr>
        <w:t>年全市人力资源和社会保障事业发展计划》，</w:t>
      </w:r>
      <w:r>
        <w:rPr>
          <w:rFonts w:eastAsia="方正仿宋_GBK"/>
          <w:sz w:val="32"/>
          <w:szCs w:val="32"/>
          <w:lang w:val="zh-CN" w:bidi="en-US"/>
        </w:rPr>
        <w:t>202</w:t>
      </w:r>
      <w:r>
        <w:rPr>
          <w:rFonts w:eastAsia="方正仿宋_GBK" w:hint="eastAsia"/>
          <w:sz w:val="32"/>
          <w:szCs w:val="32"/>
          <w:lang w:bidi="en-US"/>
        </w:rPr>
        <w:t>4</w:t>
      </w:r>
      <w:r>
        <w:rPr>
          <w:rFonts w:eastAsia="方正仿宋_GBK"/>
          <w:sz w:val="32"/>
          <w:szCs w:val="32"/>
          <w:lang w:val="zh-CN" w:bidi="en-US"/>
        </w:rPr>
        <w:t>年度主要工作和目标为：</w:t>
      </w:r>
    </w:p>
    <w:p w14:paraId="4ACD1A93" w14:textId="77777777" w:rsidR="00260726" w:rsidRDefault="00E936D8">
      <w:pPr>
        <w:autoSpaceDE w:val="0"/>
        <w:autoSpaceDN w:val="0"/>
        <w:adjustRightInd w:val="0"/>
        <w:snapToGrid w:val="0"/>
        <w:spacing w:line="560" w:lineRule="exact"/>
        <w:ind w:firstLineChars="200" w:firstLine="643"/>
        <w:rPr>
          <w:rFonts w:eastAsia="方正仿宋_GBK"/>
          <w:sz w:val="32"/>
          <w:szCs w:val="32"/>
        </w:rPr>
      </w:pPr>
      <w:r>
        <w:rPr>
          <w:rFonts w:eastAsia="方正仿宋_GBK"/>
          <w:b/>
          <w:bCs/>
          <w:kern w:val="0"/>
          <w:sz w:val="32"/>
          <w:szCs w:val="32"/>
          <w:lang w:val="zh-CN" w:bidi="en-US"/>
        </w:rPr>
        <w:t>（</w:t>
      </w:r>
      <w:r>
        <w:rPr>
          <w:rFonts w:eastAsia="方正仿宋_GBK"/>
          <w:b/>
          <w:bCs/>
          <w:kern w:val="0"/>
          <w:sz w:val="32"/>
          <w:szCs w:val="32"/>
          <w:lang w:val="zh-CN" w:bidi="en-US"/>
        </w:rPr>
        <w:t>1</w:t>
      </w:r>
      <w:r>
        <w:rPr>
          <w:rFonts w:eastAsia="方正仿宋_GBK"/>
          <w:b/>
          <w:bCs/>
          <w:kern w:val="0"/>
          <w:sz w:val="32"/>
          <w:szCs w:val="32"/>
          <w:lang w:val="zh-CN" w:bidi="en-US"/>
        </w:rPr>
        <w:t>）</w:t>
      </w:r>
      <w:r>
        <w:rPr>
          <w:rFonts w:ascii="方正仿宋_GBK" w:eastAsia="方正仿宋_GBK" w:hAnsi="方正仿宋_GBK" w:cs="方正仿宋_GBK" w:hint="eastAsia"/>
          <w:b/>
          <w:bCs/>
          <w:snapToGrid w:val="0"/>
          <w:sz w:val="32"/>
          <w:szCs w:val="32"/>
        </w:rPr>
        <w:t>落实就业优先政策，促进高质量充分就业。</w:t>
      </w:r>
      <w:r>
        <w:rPr>
          <w:rFonts w:eastAsia="方正仿宋_GBK" w:hint="eastAsia"/>
          <w:sz w:val="32"/>
          <w:szCs w:val="32"/>
        </w:rPr>
        <w:t>强化“稳就业”担当，健全就业促进机制，优化就业创业服务，保障重点群体就业，支持和规范发展新就业形态，推动构建“大培训”格局，深入开展青年群体专项职业技能培训计划，切实提升劳动者就业能力。</w:t>
      </w:r>
      <w:r>
        <w:rPr>
          <w:rFonts w:eastAsia="方正仿宋_GBK" w:hint="eastAsia"/>
          <w:sz w:val="32"/>
          <w:szCs w:val="32"/>
        </w:rPr>
        <w:t>2024</w:t>
      </w:r>
      <w:r>
        <w:rPr>
          <w:rFonts w:eastAsia="方正仿宋_GBK" w:hint="eastAsia"/>
          <w:sz w:val="32"/>
          <w:szCs w:val="32"/>
        </w:rPr>
        <w:t>年，城镇新增就业</w:t>
      </w:r>
      <w:r>
        <w:rPr>
          <w:rFonts w:eastAsia="方正仿宋_GBK" w:hint="eastAsia"/>
          <w:sz w:val="32"/>
          <w:szCs w:val="32"/>
        </w:rPr>
        <w:t>20.5</w:t>
      </w:r>
      <w:r>
        <w:rPr>
          <w:rFonts w:eastAsia="方正仿宋_GBK" w:hint="eastAsia"/>
          <w:sz w:val="32"/>
          <w:szCs w:val="32"/>
        </w:rPr>
        <w:t>万人，城镇失业人员就业</w:t>
      </w:r>
      <w:r>
        <w:rPr>
          <w:rFonts w:eastAsia="方正仿宋_GBK" w:hint="eastAsia"/>
          <w:sz w:val="32"/>
          <w:szCs w:val="32"/>
        </w:rPr>
        <w:t>9</w:t>
      </w:r>
      <w:r>
        <w:rPr>
          <w:rFonts w:eastAsia="方正仿宋_GBK" w:hint="eastAsia"/>
          <w:sz w:val="32"/>
          <w:szCs w:val="32"/>
        </w:rPr>
        <w:t>万人，就业困难人员就业</w:t>
      </w:r>
      <w:r>
        <w:rPr>
          <w:rFonts w:eastAsia="方正仿宋_GBK" w:hint="eastAsia"/>
          <w:sz w:val="32"/>
          <w:szCs w:val="32"/>
        </w:rPr>
        <w:t>1.85</w:t>
      </w:r>
      <w:r>
        <w:rPr>
          <w:rFonts w:eastAsia="方正仿宋_GBK" w:hint="eastAsia"/>
          <w:sz w:val="32"/>
          <w:szCs w:val="32"/>
        </w:rPr>
        <w:t>万人，支持成功自主创业</w:t>
      </w:r>
      <w:r>
        <w:rPr>
          <w:rFonts w:eastAsia="方正仿宋_GBK" w:hint="eastAsia"/>
          <w:sz w:val="32"/>
          <w:szCs w:val="32"/>
        </w:rPr>
        <w:t>2</w:t>
      </w:r>
      <w:r>
        <w:rPr>
          <w:rFonts w:eastAsia="方正仿宋_GBK" w:hint="eastAsia"/>
          <w:sz w:val="32"/>
          <w:szCs w:val="32"/>
        </w:rPr>
        <w:t>万人，其中支持离校</w:t>
      </w:r>
      <w:r>
        <w:rPr>
          <w:rFonts w:eastAsia="方正仿宋_GBK" w:hint="eastAsia"/>
          <w:sz w:val="32"/>
          <w:szCs w:val="32"/>
        </w:rPr>
        <w:t>5</w:t>
      </w:r>
      <w:r>
        <w:rPr>
          <w:rFonts w:eastAsia="方正仿宋_GBK" w:hint="eastAsia"/>
          <w:sz w:val="32"/>
          <w:szCs w:val="32"/>
        </w:rPr>
        <w:t>年内高校毕业生创业</w:t>
      </w:r>
      <w:r>
        <w:rPr>
          <w:rFonts w:eastAsia="方正仿宋_GBK" w:hint="eastAsia"/>
          <w:sz w:val="32"/>
          <w:szCs w:val="32"/>
        </w:rPr>
        <w:t>5000</w:t>
      </w:r>
      <w:r>
        <w:rPr>
          <w:rFonts w:eastAsia="方正仿宋_GBK" w:hint="eastAsia"/>
          <w:sz w:val="32"/>
          <w:szCs w:val="32"/>
        </w:rPr>
        <w:t>人，成功自主创业带动稳定就业</w:t>
      </w:r>
      <w:r>
        <w:rPr>
          <w:rFonts w:eastAsia="方正仿宋_GBK" w:hint="eastAsia"/>
          <w:sz w:val="32"/>
          <w:szCs w:val="32"/>
        </w:rPr>
        <w:t>6.2</w:t>
      </w:r>
      <w:r>
        <w:rPr>
          <w:rFonts w:eastAsia="方正仿宋_GBK" w:hint="eastAsia"/>
          <w:sz w:val="32"/>
          <w:szCs w:val="32"/>
        </w:rPr>
        <w:t>万人，领取失业金人员当年帮扶就业率</w:t>
      </w:r>
      <w:r>
        <w:rPr>
          <w:rFonts w:eastAsia="方正仿宋_GBK" w:hint="eastAsia"/>
          <w:sz w:val="32"/>
          <w:szCs w:val="32"/>
        </w:rPr>
        <w:t>30%</w:t>
      </w:r>
      <w:r>
        <w:rPr>
          <w:rFonts w:eastAsia="方正仿宋_GBK" w:hint="eastAsia"/>
          <w:sz w:val="32"/>
          <w:szCs w:val="32"/>
        </w:rPr>
        <w:t>，南京籍离校未就业高校毕业生帮扶就业率</w:t>
      </w:r>
      <w:r>
        <w:rPr>
          <w:rFonts w:eastAsia="方正仿宋_GBK" w:hint="eastAsia"/>
          <w:sz w:val="32"/>
          <w:szCs w:val="32"/>
        </w:rPr>
        <w:t>90%</w:t>
      </w:r>
      <w:r>
        <w:rPr>
          <w:rFonts w:eastAsia="方正仿宋_GBK" w:hint="eastAsia"/>
          <w:sz w:val="32"/>
          <w:szCs w:val="32"/>
        </w:rPr>
        <w:t>，新建标准化“家门口”就业服务站</w:t>
      </w:r>
      <w:r>
        <w:rPr>
          <w:rFonts w:eastAsia="方正仿宋_GBK" w:hint="eastAsia"/>
          <w:sz w:val="32"/>
          <w:szCs w:val="32"/>
        </w:rPr>
        <w:t>55</w:t>
      </w:r>
      <w:r>
        <w:rPr>
          <w:rFonts w:eastAsia="方正仿宋_GBK" w:hint="eastAsia"/>
          <w:sz w:val="32"/>
          <w:szCs w:val="32"/>
        </w:rPr>
        <w:t>个，困难群体就业兜底帮扶</w:t>
      </w:r>
      <w:r>
        <w:rPr>
          <w:rFonts w:eastAsia="方正仿宋_GBK" w:hint="eastAsia"/>
          <w:sz w:val="32"/>
          <w:szCs w:val="32"/>
        </w:rPr>
        <w:t>4000</w:t>
      </w:r>
      <w:r>
        <w:rPr>
          <w:rFonts w:eastAsia="方正仿宋_GBK" w:hint="eastAsia"/>
          <w:sz w:val="32"/>
          <w:szCs w:val="32"/>
        </w:rPr>
        <w:t>人，民营企业用工登记</w:t>
      </w:r>
      <w:r>
        <w:rPr>
          <w:rFonts w:eastAsia="方正仿宋_GBK" w:hint="eastAsia"/>
          <w:sz w:val="32"/>
          <w:szCs w:val="32"/>
        </w:rPr>
        <w:t>290.5</w:t>
      </w:r>
      <w:r>
        <w:rPr>
          <w:rFonts w:eastAsia="方正仿宋_GBK" w:hint="eastAsia"/>
          <w:sz w:val="32"/>
          <w:szCs w:val="32"/>
        </w:rPr>
        <w:t>万人，组织青年参加就业见习</w:t>
      </w:r>
      <w:r>
        <w:rPr>
          <w:rFonts w:eastAsia="方正仿宋_GBK" w:hint="eastAsia"/>
          <w:sz w:val="32"/>
          <w:szCs w:val="32"/>
        </w:rPr>
        <w:t>4900</w:t>
      </w:r>
      <w:r>
        <w:rPr>
          <w:rFonts w:eastAsia="方正仿宋_GBK" w:hint="eastAsia"/>
          <w:sz w:val="32"/>
          <w:szCs w:val="32"/>
        </w:rPr>
        <w:t>人，开发高质量就业见习岗位</w:t>
      </w:r>
      <w:r>
        <w:rPr>
          <w:rFonts w:eastAsia="方正仿宋_GBK" w:hint="eastAsia"/>
          <w:sz w:val="32"/>
          <w:szCs w:val="32"/>
        </w:rPr>
        <w:t>2.6</w:t>
      </w:r>
      <w:r>
        <w:rPr>
          <w:rFonts w:eastAsia="方正仿宋_GBK" w:hint="eastAsia"/>
          <w:sz w:val="32"/>
          <w:szCs w:val="32"/>
        </w:rPr>
        <w:t>万个。</w:t>
      </w:r>
    </w:p>
    <w:p w14:paraId="78AF7CA9" w14:textId="77777777" w:rsidR="00BA59C7" w:rsidRDefault="00E936D8">
      <w:pPr>
        <w:autoSpaceDE w:val="0"/>
        <w:autoSpaceDN w:val="0"/>
        <w:adjustRightInd w:val="0"/>
        <w:snapToGrid w:val="0"/>
        <w:spacing w:line="560" w:lineRule="exact"/>
        <w:ind w:firstLineChars="200" w:firstLine="643"/>
        <w:rPr>
          <w:rFonts w:eastAsia="方正仿宋_GBK"/>
          <w:sz w:val="32"/>
          <w:szCs w:val="32"/>
        </w:rPr>
      </w:pPr>
      <w:r>
        <w:rPr>
          <w:rFonts w:eastAsia="方正仿宋_GBK"/>
          <w:b/>
          <w:bCs/>
          <w:kern w:val="0"/>
          <w:sz w:val="32"/>
          <w:szCs w:val="32"/>
          <w:lang w:val="zh-CN" w:bidi="en-US"/>
        </w:rPr>
        <w:t>（</w:t>
      </w:r>
      <w:r>
        <w:rPr>
          <w:rFonts w:eastAsia="方正仿宋_GBK"/>
          <w:b/>
          <w:bCs/>
          <w:kern w:val="0"/>
          <w:sz w:val="32"/>
          <w:szCs w:val="32"/>
          <w:lang w:val="zh-CN" w:bidi="en-US"/>
        </w:rPr>
        <w:t>2</w:t>
      </w:r>
      <w:r>
        <w:rPr>
          <w:rFonts w:eastAsia="方正仿宋_GBK"/>
          <w:b/>
          <w:bCs/>
          <w:kern w:val="0"/>
          <w:sz w:val="32"/>
          <w:szCs w:val="32"/>
          <w:lang w:val="zh-CN" w:bidi="en-US"/>
        </w:rPr>
        <w:t>）</w:t>
      </w:r>
      <w:r>
        <w:rPr>
          <w:rFonts w:eastAsia="方正仿宋_GBK" w:hint="eastAsia"/>
          <w:b/>
          <w:bCs/>
          <w:sz w:val="32"/>
          <w:szCs w:val="32"/>
        </w:rPr>
        <w:t>健全社会保障体系，深入推进全民参保。</w:t>
      </w:r>
      <w:r>
        <w:rPr>
          <w:rFonts w:eastAsia="方正仿宋_GBK" w:hint="eastAsia"/>
          <w:sz w:val="32"/>
          <w:szCs w:val="32"/>
        </w:rPr>
        <w:t>实施全民参保计划，做好新业态从业人员参保，科学调整各项社保待遇，持续扩大社会保险覆盖面，提升工伤预防和工伤康复水平，健全</w:t>
      </w:r>
      <w:r>
        <w:rPr>
          <w:rFonts w:eastAsia="方正仿宋_GBK" w:hint="eastAsia"/>
          <w:sz w:val="32"/>
          <w:szCs w:val="32"/>
        </w:rPr>
        <w:lastRenderedPageBreak/>
        <w:t>完善覆盖全民、统筹城乡、公平统一、安全规范、可持续的多层次社会保障体系。</w:t>
      </w:r>
      <w:r>
        <w:rPr>
          <w:rFonts w:eastAsia="方正仿宋_GBK" w:hint="eastAsia"/>
          <w:sz w:val="32"/>
          <w:szCs w:val="32"/>
        </w:rPr>
        <w:t>2024</w:t>
      </w:r>
      <w:r>
        <w:rPr>
          <w:rFonts w:eastAsia="方正仿宋_GBK" w:hint="eastAsia"/>
          <w:sz w:val="32"/>
          <w:szCs w:val="32"/>
        </w:rPr>
        <w:t>年，全市参加企业职工基本养老、失业、工伤保险分别达</w:t>
      </w:r>
      <w:r>
        <w:rPr>
          <w:rFonts w:eastAsia="方正仿宋_GBK" w:hint="eastAsia"/>
          <w:sz w:val="32"/>
          <w:szCs w:val="32"/>
        </w:rPr>
        <w:t>376</w:t>
      </w:r>
      <w:r>
        <w:rPr>
          <w:rFonts w:eastAsia="方正仿宋_GBK" w:hint="eastAsia"/>
          <w:sz w:val="32"/>
          <w:szCs w:val="32"/>
        </w:rPr>
        <w:t>万人、</w:t>
      </w:r>
      <w:r>
        <w:rPr>
          <w:rFonts w:eastAsia="方正仿宋_GBK" w:hint="eastAsia"/>
          <w:sz w:val="32"/>
          <w:szCs w:val="32"/>
        </w:rPr>
        <w:t>350.5</w:t>
      </w:r>
      <w:r>
        <w:rPr>
          <w:rFonts w:eastAsia="方正仿宋_GBK" w:hint="eastAsia"/>
          <w:sz w:val="32"/>
          <w:szCs w:val="32"/>
        </w:rPr>
        <w:t>万人、</w:t>
      </w:r>
      <w:r>
        <w:rPr>
          <w:rFonts w:eastAsia="方正仿宋_GBK" w:hint="eastAsia"/>
          <w:sz w:val="32"/>
          <w:szCs w:val="32"/>
        </w:rPr>
        <w:t>392</w:t>
      </w:r>
      <w:r>
        <w:rPr>
          <w:rFonts w:eastAsia="方正仿宋_GBK" w:hint="eastAsia"/>
          <w:sz w:val="32"/>
          <w:szCs w:val="32"/>
        </w:rPr>
        <w:t>万人，企业职工基本养老保险参保缴费率</w:t>
      </w:r>
      <w:r>
        <w:rPr>
          <w:rFonts w:eastAsia="方正仿宋_GBK" w:hint="eastAsia"/>
          <w:sz w:val="32"/>
          <w:szCs w:val="32"/>
        </w:rPr>
        <w:t>90%</w:t>
      </w:r>
      <w:r>
        <w:rPr>
          <w:rFonts w:eastAsia="方正仿宋_GBK" w:hint="eastAsia"/>
          <w:sz w:val="32"/>
          <w:szCs w:val="32"/>
        </w:rPr>
        <w:t>，建筑业新开工项目工伤保险参保率</w:t>
      </w:r>
      <w:r>
        <w:rPr>
          <w:rFonts w:eastAsia="方正仿宋_GBK" w:hint="eastAsia"/>
          <w:sz w:val="32"/>
          <w:szCs w:val="32"/>
        </w:rPr>
        <w:t>90%</w:t>
      </w:r>
      <w:r>
        <w:rPr>
          <w:rFonts w:eastAsia="方正仿宋_GBK" w:hint="eastAsia"/>
          <w:sz w:val="32"/>
          <w:szCs w:val="32"/>
        </w:rPr>
        <w:t>，工伤康复</w:t>
      </w:r>
      <w:r>
        <w:rPr>
          <w:rFonts w:eastAsia="方正仿宋_GBK" w:hint="eastAsia"/>
          <w:sz w:val="32"/>
          <w:szCs w:val="32"/>
        </w:rPr>
        <w:t>1200</w:t>
      </w:r>
      <w:r>
        <w:rPr>
          <w:rFonts w:eastAsia="方正仿宋_GBK" w:hint="eastAsia"/>
          <w:sz w:val="32"/>
          <w:szCs w:val="32"/>
        </w:rPr>
        <w:t>人。</w:t>
      </w:r>
    </w:p>
    <w:p w14:paraId="7D77416E" w14:textId="798EDC89" w:rsidR="00260726" w:rsidRDefault="00E936D8">
      <w:pPr>
        <w:autoSpaceDE w:val="0"/>
        <w:autoSpaceDN w:val="0"/>
        <w:adjustRightInd w:val="0"/>
        <w:snapToGrid w:val="0"/>
        <w:spacing w:line="560" w:lineRule="exact"/>
        <w:ind w:firstLineChars="200" w:firstLine="643"/>
        <w:rPr>
          <w:rFonts w:eastAsia="方正仿宋_GBK"/>
          <w:sz w:val="32"/>
          <w:szCs w:val="32"/>
        </w:rPr>
      </w:pPr>
      <w:r>
        <w:rPr>
          <w:rFonts w:eastAsia="方正仿宋_GBK"/>
          <w:b/>
          <w:bCs/>
          <w:kern w:val="0"/>
          <w:sz w:val="32"/>
          <w:szCs w:val="32"/>
          <w:lang w:val="zh-CN" w:bidi="en-US"/>
        </w:rPr>
        <w:t>（</w:t>
      </w:r>
      <w:r>
        <w:rPr>
          <w:rFonts w:eastAsia="方正仿宋_GBK"/>
          <w:b/>
          <w:bCs/>
          <w:kern w:val="0"/>
          <w:sz w:val="32"/>
          <w:szCs w:val="32"/>
          <w:lang w:val="zh-CN" w:bidi="en-US"/>
        </w:rPr>
        <w:t>3</w:t>
      </w:r>
      <w:r>
        <w:rPr>
          <w:rFonts w:eastAsia="方正仿宋_GBK"/>
          <w:b/>
          <w:bCs/>
          <w:kern w:val="0"/>
          <w:sz w:val="32"/>
          <w:szCs w:val="32"/>
          <w:lang w:val="zh-CN" w:bidi="en-US"/>
        </w:rPr>
        <w:t>）</w:t>
      </w:r>
      <w:r>
        <w:rPr>
          <w:rFonts w:eastAsia="方正仿宋_GBK" w:hint="eastAsia"/>
          <w:b/>
          <w:bCs/>
          <w:sz w:val="32"/>
          <w:szCs w:val="32"/>
        </w:rPr>
        <w:t>加大人才集聚力度，全力推进人才队伍建设。</w:t>
      </w:r>
      <w:r>
        <w:rPr>
          <w:rFonts w:eastAsia="方正仿宋_GBK" w:hint="eastAsia"/>
          <w:sz w:val="32"/>
          <w:szCs w:val="32"/>
        </w:rPr>
        <w:t>深化人才发展体制机制改革，完善职称综合管理机制，建强高技能人才培育载体，加强人才安居保障，推进国家级人力资源服务产业园建设，加快建立人才资源竞争优势，激发各类人才创新创造活力。</w:t>
      </w:r>
      <w:r>
        <w:rPr>
          <w:rFonts w:eastAsia="方正仿宋_GBK" w:hint="eastAsia"/>
          <w:sz w:val="32"/>
          <w:szCs w:val="32"/>
        </w:rPr>
        <w:t>2024</w:t>
      </w:r>
      <w:r>
        <w:rPr>
          <w:rFonts w:eastAsia="方正仿宋_GBK" w:hint="eastAsia"/>
          <w:sz w:val="32"/>
          <w:szCs w:val="32"/>
        </w:rPr>
        <w:t>年，新增取得职业资格证书或职业技能等级证书</w:t>
      </w:r>
      <w:r>
        <w:rPr>
          <w:rFonts w:eastAsia="方正仿宋_GBK" w:hint="eastAsia"/>
          <w:sz w:val="32"/>
          <w:szCs w:val="32"/>
        </w:rPr>
        <w:t>9</w:t>
      </w:r>
      <w:r>
        <w:rPr>
          <w:rFonts w:eastAsia="方正仿宋_GBK" w:hint="eastAsia"/>
          <w:sz w:val="32"/>
          <w:szCs w:val="32"/>
        </w:rPr>
        <w:t>万人次，新增取得高级工以上职业资格证书或职业技能等级证书</w:t>
      </w:r>
      <w:r>
        <w:rPr>
          <w:rFonts w:eastAsia="方正仿宋_GBK" w:hint="eastAsia"/>
          <w:sz w:val="32"/>
          <w:szCs w:val="32"/>
        </w:rPr>
        <w:t>2</w:t>
      </w:r>
      <w:r>
        <w:rPr>
          <w:rFonts w:eastAsia="方正仿宋_GBK" w:hint="eastAsia"/>
          <w:sz w:val="32"/>
          <w:szCs w:val="32"/>
        </w:rPr>
        <w:t>万人次，新增留学回国人员</w:t>
      </w:r>
      <w:r>
        <w:rPr>
          <w:rFonts w:eastAsia="方正仿宋_GBK" w:hint="eastAsia"/>
          <w:sz w:val="32"/>
          <w:szCs w:val="32"/>
        </w:rPr>
        <w:t>7200</w:t>
      </w:r>
      <w:r>
        <w:rPr>
          <w:rFonts w:eastAsia="方正仿宋_GBK" w:hint="eastAsia"/>
          <w:sz w:val="32"/>
          <w:szCs w:val="32"/>
        </w:rPr>
        <w:t>人，新增数字经济专业技术人才</w:t>
      </w:r>
      <w:r>
        <w:rPr>
          <w:rFonts w:eastAsia="方正仿宋_GBK" w:hint="eastAsia"/>
          <w:sz w:val="32"/>
          <w:szCs w:val="32"/>
        </w:rPr>
        <w:t>1.5</w:t>
      </w:r>
      <w:r>
        <w:rPr>
          <w:rFonts w:eastAsia="方正仿宋_GBK" w:hint="eastAsia"/>
          <w:sz w:val="32"/>
          <w:szCs w:val="32"/>
        </w:rPr>
        <w:t>万人，新增取得数字技能类职业资格证书或职业技能等级证书</w:t>
      </w:r>
      <w:r>
        <w:rPr>
          <w:rFonts w:eastAsia="方正仿宋_GBK" w:hint="eastAsia"/>
          <w:sz w:val="32"/>
          <w:szCs w:val="32"/>
        </w:rPr>
        <w:t>8000</w:t>
      </w:r>
      <w:r>
        <w:rPr>
          <w:rFonts w:eastAsia="方正仿宋_GBK" w:hint="eastAsia"/>
          <w:sz w:val="32"/>
          <w:szCs w:val="32"/>
        </w:rPr>
        <w:t>人，机关事业单位工勤人员职业素质提升培训考核</w:t>
      </w:r>
      <w:r>
        <w:rPr>
          <w:rFonts w:eastAsia="方正仿宋_GBK" w:hint="eastAsia"/>
          <w:sz w:val="32"/>
          <w:szCs w:val="32"/>
        </w:rPr>
        <w:t>1300</w:t>
      </w:r>
      <w:r>
        <w:rPr>
          <w:rFonts w:eastAsia="方正仿宋_GBK" w:hint="eastAsia"/>
          <w:sz w:val="32"/>
          <w:szCs w:val="32"/>
        </w:rPr>
        <w:t>人。</w:t>
      </w:r>
    </w:p>
    <w:p w14:paraId="45A63763" w14:textId="77777777" w:rsidR="00260726" w:rsidRDefault="00E936D8">
      <w:pPr>
        <w:overflowPunct w:val="0"/>
        <w:adjustRightInd w:val="0"/>
        <w:snapToGrid w:val="0"/>
        <w:spacing w:line="560" w:lineRule="exact"/>
        <w:ind w:firstLineChars="200" w:firstLine="643"/>
        <w:rPr>
          <w:rFonts w:eastAsia="方正仿宋_GBK"/>
          <w:sz w:val="32"/>
          <w:szCs w:val="32"/>
        </w:rPr>
      </w:pPr>
      <w:r>
        <w:rPr>
          <w:rFonts w:eastAsia="方正仿宋_GBK"/>
          <w:b/>
          <w:bCs/>
          <w:kern w:val="0"/>
          <w:sz w:val="32"/>
          <w:szCs w:val="32"/>
          <w:lang w:val="zh-CN" w:bidi="en-US"/>
        </w:rPr>
        <w:t>（</w:t>
      </w:r>
      <w:r>
        <w:rPr>
          <w:rFonts w:eastAsia="方正仿宋_GBK"/>
          <w:b/>
          <w:bCs/>
          <w:kern w:val="0"/>
          <w:sz w:val="32"/>
          <w:szCs w:val="32"/>
          <w:lang w:val="zh-CN" w:bidi="en-US"/>
        </w:rPr>
        <w:t>4</w:t>
      </w:r>
      <w:r>
        <w:rPr>
          <w:rFonts w:eastAsia="方正仿宋_GBK"/>
          <w:b/>
          <w:bCs/>
          <w:kern w:val="0"/>
          <w:sz w:val="32"/>
          <w:szCs w:val="32"/>
          <w:lang w:val="zh-CN" w:bidi="en-US"/>
        </w:rPr>
        <w:t>）</w:t>
      </w:r>
      <w:r>
        <w:rPr>
          <w:rFonts w:eastAsia="方正仿宋_GBK" w:hint="eastAsia"/>
          <w:b/>
          <w:bCs/>
          <w:sz w:val="32"/>
          <w:szCs w:val="32"/>
        </w:rPr>
        <w:t>完善协商协调机制，构建和谐劳动关系。</w:t>
      </w:r>
      <w:r>
        <w:rPr>
          <w:rFonts w:eastAsia="方正仿宋_GBK" w:hint="eastAsia"/>
          <w:sz w:val="32"/>
          <w:szCs w:val="32"/>
        </w:rPr>
        <w:t>健全劳动关系协商协调机制，推进新时代劳动关系和谐企业建设认定，强化执法维权，合力施策动态治理欠薪，提升调解仲裁质效，发挥劳动人事争议联合调处中心作用，夯实多元化解机制。</w:t>
      </w:r>
      <w:r>
        <w:rPr>
          <w:rFonts w:eastAsia="方正仿宋_GBK" w:hint="eastAsia"/>
          <w:sz w:val="32"/>
          <w:szCs w:val="32"/>
        </w:rPr>
        <w:t>2024</w:t>
      </w:r>
      <w:r>
        <w:rPr>
          <w:rFonts w:eastAsia="方正仿宋_GBK" w:hint="eastAsia"/>
          <w:sz w:val="32"/>
          <w:szCs w:val="32"/>
        </w:rPr>
        <w:t>年，劳动保障监察举报投诉案件结案率</w:t>
      </w:r>
      <w:r>
        <w:rPr>
          <w:rFonts w:eastAsia="方正仿宋_GBK" w:hint="eastAsia"/>
          <w:sz w:val="32"/>
          <w:szCs w:val="32"/>
        </w:rPr>
        <w:t>98%</w:t>
      </w:r>
      <w:r>
        <w:rPr>
          <w:rFonts w:eastAsia="方正仿宋_GBK" w:hint="eastAsia"/>
          <w:sz w:val="32"/>
          <w:szCs w:val="32"/>
        </w:rPr>
        <w:t>，人均“双随机”执法检查用人单位</w:t>
      </w:r>
      <w:r>
        <w:rPr>
          <w:rFonts w:eastAsia="方正仿宋_GBK" w:hint="eastAsia"/>
          <w:sz w:val="32"/>
          <w:szCs w:val="32"/>
        </w:rPr>
        <w:t>50</w:t>
      </w:r>
      <w:r>
        <w:rPr>
          <w:rFonts w:eastAsia="方正仿宋_GBK" w:hint="eastAsia"/>
          <w:sz w:val="32"/>
          <w:szCs w:val="32"/>
        </w:rPr>
        <w:t>户，拖欠农民工工资举报投诉案件结案率</w:t>
      </w:r>
      <w:r>
        <w:rPr>
          <w:rFonts w:eastAsia="方正仿宋_GBK" w:hint="eastAsia"/>
          <w:sz w:val="32"/>
          <w:szCs w:val="32"/>
        </w:rPr>
        <w:t>99%</w:t>
      </w:r>
      <w:r>
        <w:rPr>
          <w:rFonts w:eastAsia="方正仿宋_GBK" w:hint="eastAsia"/>
          <w:sz w:val="32"/>
          <w:szCs w:val="32"/>
        </w:rPr>
        <w:t>，劳动人事争议仲裁案件结案率</w:t>
      </w:r>
      <w:r>
        <w:rPr>
          <w:rFonts w:eastAsia="方正仿宋_GBK" w:hint="eastAsia"/>
          <w:sz w:val="32"/>
          <w:szCs w:val="32"/>
        </w:rPr>
        <w:t>90%</w:t>
      </w:r>
      <w:r>
        <w:rPr>
          <w:rFonts w:eastAsia="方正仿宋_GBK" w:hint="eastAsia"/>
          <w:sz w:val="32"/>
          <w:szCs w:val="32"/>
        </w:rPr>
        <w:t>，劳动人事争议调解成功率</w:t>
      </w:r>
      <w:r>
        <w:rPr>
          <w:rFonts w:eastAsia="方正仿宋_GBK" w:hint="eastAsia"/>
          <w:sz w:val="32"/>
          <w:szCs w:val="32"/>
        </w:rPr>
        <w:t>60%</w:t>
      </w:r>
      <w:r>
        <w:rPr>
          <w:rFonts w:eastAsia="方正仿宋_GBK" w:hint="eastAsia"/>
          <w:sz w:val="32"/>
          <w:szCs w:val="32"/>
        </w:rPr>
        <w:t>。</w:t>
      </w:r>
    </w:p>
    <w:p w14:paraId="5436BC45" w14:textId="77777777" w:rsidR="00260726" w:rsidRDefault="00E936D8">
      <w:pPr>
        <w:overflowPunct w:val="0"/>
        <w:adjustRightInd w:val="0"/>
        <w:snapToGrid w:val="0"/>
        <w:spacing w:line="560" w:lineRule="exact"/>
        <w:ind w:firstLineChars="200" w:firstLine="643"/>
        <w:rPr>
          <w:rFonts w:eastAsia="方正仿宋_GBK"/>
          <w:sz w:val="32"/>
          <w:szCs w:val="32"/>
        </w:rPr>
      </w:pPr>
      <w:r>
        <w:rPr>
          <w:rFonts w:eastAsia="方正仿宋_GBK"/>
          <w:b/>
          <w:bCs/>
          <w:kern w:val="0"/>
          <w:sz w:val="32"/>
          <w:szCs w:val="32"/>
          <w:lang w:val="zh-CN" w:bidi="en-US"/>
        </w:rPr>
        <w:lastRenderedPageBreak/>
        <w:t>（</w:t>
      </w:r>
      <w:r>
        <w:rPr>
          <w:rFonts w:eastAsia="方正仿宋_GBK"/>
          <w:b/>
          <w:bCs/>
          <w:kern w:val="0"/>
          <w:sz w:val="32"/>
          <w:szCs w:val="32"/>
          <w:lang w:val="zh-CN" w:bidi="en-US"/>
        </w:rPr>
        <w:t>5</w:t>
      </w:r>
      <w:r>
        <w:rPr>
          <w:rFonts w:eastAsia="方正仿宋_GBK"/>
          <w:b/>
          <w:bCs/>
          <w:kern w:val="0"/>
          <w:sz w:val="32"/>
          <w:szCs w:val="32"/>
          <w:lang w:val="zh-CN" w:bidi="en-US"/>
        </w:rPr>
        <w:t>）</w:t>
      </w:r>
      <w:r>
        <w:rPr>
          <w:rFonts w:eastAsia="方正仿宋_GBK" w:hint="eastAsia"/>
          <w:b/>
          <w:bCs/>
          <w:sz w:val="32"/>
          <w:szCs w:val="32"/>
        </w:rPr>
        <w:t>提升综合改革效能，优化基本公共服务。</w:t>
      </w:r>
      <w:r>
        <w:rPr>
          <w:rFonts w:eastAsia="方正仿宋_GBK" w:hint="eastAsia"/>
          <w:sz w:val="32"/>
          <w:szCs w:val="32"/>
        </w:rPr>
        <w:t>深化“放管服”改革，规范事项清单优化政务服务，加快推进“智慧人社”建设，提升人社信息化水平，构建覆盖全民、城乡一体、均等可及、高效优质的人力资源社会保障基本公共服务体系。</w:t>
      </w:r>
      <w:r>
        <w:rPr>
          <w:rFonts w:eastAsia="方正仿宋_GBK" w:hint="eastAsia"/>
          <w:sz w:val="32"/>
          <w:szCs w:val="32"/>
        </w:rPr>
        <w:t>2024</w:t>
      </w:r>
      <w:r>
        <w:rPr>
          <w:rFonts w:eastAsia="方正仿宋_GBK" w:hint="eastAsia"/>
          <w:sz w:val="32"/>
          <w:szCs w:val="32"/>
        </w:rPr>
        <w:t>年，申领电子社保卡人口覆盖率</w:t>
      </w:r>
      <w:r>
        <w:rPr>
          <w:rFonts w:eastAsia="方正仿宋_GBK" w:hint="eastAsia"/>
          <w:sz w:val="32"/>
          <w:szCs w:val="32"/>
        </w:rPr>
        <w:t>85%</w:t>
      </w:r>
      <w:r>
        <w:rPr>
          <w:rFonts w:eastAsia="方正仿宋_GBK" w:hint="eastAsia"/>
          <w:sz w:val="32"/>
          <w:szCs w:val="32"/>
        </w:rPr>
        <w:t>，人社政务服务好评率</w:t>
      </w:r>
      <w:r>
        <w:rPr>
          <w:rFonts w:eastAsia="方正仿宋_GBK" w:hint="eastAsia"/>
          <w:sz w:val="32"/>
          <w:szCs w:val="32"/>
        </w:rPr>
        <w:t>98%</w:t>
      </w:r>
      <w:r>
        <w:rPr>
          <w:rFonts w:eastAsia="方正仿宋_GBK" w:hint="eastAsia"/>
          <w:sz w:val="32"/>
          <w:szCs w:val="32"/>
        </w:rPr>
        <w:t>。</w:t>
      </w:r>
    </w:p>
    <w:p w14:paraId="5708A2A8" w14:textId="77777777" w:rsidR="00260726" w:rsidRDefault="00E936D8">
      <w:pPr>
        <w:widowControl/>
        <w:adjustRightInd w:val="0"/>
        <w:snapToGrid w:val="0"/>
        <w:spacing w:line="560" w:lineRule="exact"/>
        <w:ind w:firstLineChars="200" w:firstLine="640"/>
        <w:rPr>
          <w:rFonts w:eastAsia="方正黑体_GBK"/>
          <w:color w:val="000000"/>
          <w:kern w:val="0"/>
          <w:sz w:val="32"/>
          <w:szCs w:val="32"/>
        </w:rPr>
      </w:pPr>
      <w:r>
        <w:rPr>
          <w:rFonts w:eastAsia="方正黑体_GBK"/>
          <w:color w:val="000000"/>
          <w:kern w:val="0"/>
          <w:sz w:val="32"/>
          <w:szCs w:val="32"/>
        </w:rPr>
        <w:t>二、评价结论</w:t>
      </w:r>
    </w:p>
    <w:p w14:paraId="6AEB57C8"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本次评价对象为</w:t>
      </w: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年南京市人力资源和社会保障局本级部门整体决算支出</w:t>
      </w:r>
      <w:r>
        <w:rPr>
          <w:rFonts w:eastAsia="方正仿宋_GBK" w:hint="eastAsia"/>
          <w:color w:val="000000"/>
          <w:sz w:val="32"/>
          <w:szCs w:val="32"/>
        </w:rPr>
        <w:t>11413.94</w:t>
      </w:r>
      <w:r>
        <w:rPr>
          <w:rFonts w:eastAsia="方正仿宋_GBK"/>
          <w:color w:val="000000"/>
          <w:sz w:val="32"/>
          <w:szCs w:val="32"/>
        </w:rPr>
        <w:t>万元，其中涉及专项资金部分另做专项单独报告。范围涵盖就业创业、人事人才、社会保障、劳动关系等方面。绩效评价时段为</w:t>
      </w: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w:t>
      </w:r>
      <w:r>
        <w:rPr>
          <w:rFonts w:eastAsia="方正仿宋_GBK"/>
          <w:color w:val="000000"/>
          <w:sz w:val="32"/>
          <w:szCs w:val="32"/>
        </w:rPr>
        <w:t>1</w:t>
      </w:r>
      <w:r>
        <w:rPr>
          <w:rFonts w:eastAsia="方正仿宋_GBK"/>
          <w:color w:val="000000"/>
          <w:sz w:val="32"/>
          <w:szCs w:val="32"/>
        </w:rPr>
        <w:t>月</w:t>
      </w:r>
      <w:r>
        <w:rPr>
          <w:rFonts w:eastAsia="方正仿宋_GBK"/>
          <w:color w:val="000000"/>
          <w:sz w:val="32"/>
          <w:szCs w:val="32"/>
        </w:rPr>
        <w:t>1</w:t>
      </w:r>
      <w:r>
        <w:rPr>
          <w:rFonts w:eastAsia="方正仿宋_GBK"/>
          <w:color w:val="000000"/>
          <w:sz w:val="32"/>
          <w:szCs w:val="32"/>
        </w:rPr>
        <w:t>日至</w:t>
      </w: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w:t>
      </w:r>
      <w:r>
        <w:rPr>
          <w:rFonts w:eastAsia="方正仿宋_GBK"/>
          <w:color w:val="000000"/>
          <w:sz w:val="32"/>
          <w:szCs w:val="32"/>
        </w:rPr>
        <w:t>12</w:t>
      </w:r>
      <w:r>
        <w:rPr>
          <w:rFonts w:eastAsia="方正仿宋_GBK"/>
          <w:color w:val="000000"/>
          <w:sz w:val="32"/>
          <w:szCs w:val="32"/>
        </w:rPr>
        <w:t>月</w:t>
      </w:r>
      <w:r>
        <w:rPr>
          <w:rFonts w:eastAsia="方正仿宋_GBK"/>
          <w:color w:val="000000"/>
          <w:sz w:val="32"/>
          <w:szCs w:val="32"/>
        </w:rPr>
        <w:t>31</w:t>
      </w:r>
      <w:r>
        <w:rPr>
          <w:rFonts w:eastAsia="方正仿宋_GBK"/>
          <w:color w:val="000000"/>
          <w:sz w:val="32"/>
          <w:szCs w:val="32"/>
        </w:rPr>
        <w:t>日。</w:t>
      </w:r>
    </w:p>
    <w:p w14:paraId="5F88222C" w14:textId="77777777" w:rsidR="00260726" w:rsidRDefault="00E936D8">
      <w:pPr>
        <w:pStyle w:val="aa"/>
        <w:adjustRightInd w:val="0"/>
        <w:snapToGrid w:val="0"/>
        <w:spacing w:line="560" w:lineRule="exact"/>
        <w:ind w:firstLine="640"/>
        <w:rPr>
          <w:rFonts w:eastAsia="方正仿宋_GBK"/>
          <w:color w:val="000000"/>
          <w:sz w:val="32"/>
          <w:szCs w:val="32"/>
        </w:rPr>
      </w:pPr>
      <w:r>
        <w:rPr>
          <w:rFonts w:eastAsia="方正仿宋_GBK"/>
          <w:color w:val="000000"/>
          <w:sz w:val="32"/>
          <w:szCs w:val="32"/>
        </w:rPr>
        <w:t>本次评价以南京市人社局本级部门预算资金为主线，紧扣部门职能和绩效目标，运用成本效益分析法、比较法、公众评判法等评价方法对</w:t>
      </w:r>
      <w:r>
        <w:rPr>
          <w:rFonts w:eastAsia="方正仿宋_GBK"/>
          <w:color w:val="000000"/>
          <w:sz w:val="32"/>
          <w:szCs w:val="32"/>
        </w:rPr>
        <w:t>202</w:t>
      </w:r>
      <w:r>
        <w:rPr>
          <w:rFonts w:eastAsia="方正仿宋_GBK" w:hint="eastAsia"/>
          <w:color w:val="000000"/>
          <w:sz w:val="32"/>
          <w:szCs w:val="32"/>
        </w:rPr>
        <w:t>4</w:t>
      </w:r>
      <w:r>
        <w:rPr>
          <w:rFonts w:eastAsia="方正仿宋_GBK"/>
          <w:color w:val="000000"/>
          <w:sz w:val="32"/>
          <w:szCs w:val="32"/>
        </w:rPr>
        <w:t>年度南京市人社局部门整体进行绩效评价。经综合评定，得分为</w:t>
      </w:r>
      <w:r w:rsidRPr="00BA59C7">
        <w:rPr>
          <w:rFonts w:eastAsia="方正仿宋_GBK"/>
          <w:color w:val="000000"/>
          <w:sz w:val="32"/>
          <w:szCs w:val="32"/>
        </w:rPr>
        <w:t>9</w:t>
      </w:r>
      <w:r w:rsidRPr="00BA59C7">
        <w:rPr>
          <w:rFonts w:eastAsia="方正仿宋_GBK" w:hint="eastAsia"/>
          <w:color w:val="000000"/>
          <w:sz w:val="32"/>
          <w:szCs w:val="32"/>
        </w:rPr>
        <w:t>7.2</w:t>
      </w:r>
      <w:r>
        <w:rPr>
          <w:rFonts w:eastAsia="方正仿宋_GBK"/>
          <w:color w:val="000000"/>
          <w:sz w:val="32"/>
          <w:szCs w:val="32"/>
        </w:rPr>
        <w:t>分，评价等级为</w:t>
      </w:r>
      <w:r>
        <w:rPr>
          <w:rFonts w:eastAsia="方正仿宋_GBK"/>
          <w:color w:val="000000"/>
          <w:sz w:val="32"/>
          <w:szCs w:val="32"/>
        </w:rPr>
        <w:t>“</w:t>
      </w:r>
      <w:r>
        <w:rPr>
          <w:rFonts w:eastAsia="方正仿宋_GBK"/>
          <w:color w:val="000000"/>
          <w:sz w:val="32"/>
          <w:szCs w:val="32"/>
        </w:rPr>
        <w:t>优</w:t>
      </w:r>
      <w:r>
        <w:rPr>
          <w:rFonts w:eastAsia="方正仿宋_GBK"/>
          <w:color w:val="000000"/>
          <w:sz w:val="32"/>
          <w:szCs w:val="32"/>
        </w:rPr>
        <w:t>”</w:t>
      </w:r>
      <w:r>
        <w:rPr>
          <w:rFonts w:eastAsia="方正仿宋_GBK"/>
          <w:color w:val="000000"/>
          <w:sz w:val="32"/>
          <w:szCs w:val="32"/>
        </w:rPr>
        <w:t>，详见附件。</w:t>
      </w:r>
    </w:p>
    <w:p w14:paraId="3363F7D1" w14:textId="77777777" w:rsidR="00260726" w:rsidRDefault="00E936D8">
      <w:pPr>
        <w:widowControl/>
        <w:adjustRightInd w:val="0"/>
        <w:snapToGrid w:val="0"/>
        <w:spacing w:line="560" w:lineRule="exact"/>
        <w:ind w:firstLineChars="200" w:firstLine="640"/>
        <w:rPr>
          <w:rFonts w:eastAsia="方正黑体_GBK"/>
          <w:color w:val="000000"/>
          <w:kern w:val="0"/>
          <w:sz w:val="32"/>
          <w:szCs w:val="32"/>
        </w:rPr>
      </w:pPr>
      <w:r>
        <w:rPr>
          <w:rFonts w:eastAsia="方正黑体_GBK"/>
          <w:color w:val="000000"/>
          <w:kern w:val="0"/>
          <w:sz w:val="32"/>
          <w:szCs w:val="32"/>
        </w:rPr>
        <w:t>三、部门履职成效</w:t>
      </w:r>
    </w:p>
    <w:p w14:paraId="59520984" w14:textId="77777777" w:rsidR="00260726" w:rsidRDefault="00E936D8">
      <w:pPr>
        <w:snapToGrid w:val="0"/>
        <w:spacing w:line="560" w:lineRule="exact"/>
        <w:ind w:firstLineChars="200" w:firstLine="640"/>
        <w:rPr>
          <w:rFonts w:eastAsia="方正仿宋_GBK"/>
          <w:sz w:val="32"/>
          <w:szCs w:val="32"/>
        </w:rPr>
      </w:pPr>
      <w:r>
        <w:rPr>
          <w:rFonts w:eastAsia="方正楷体_GBK"/>
          <w:sz w:val="32"/>
        </w:rPr>
        <w:t>一</w:t>
      </w:r>
      <w:r>
        <w:rPr>
          <w:rFonts w:eastAsia="方正楷体_GBK" w:hint="eastAsia"/>
          <w:sz w:val="32"/>
        </w:rPr>
        <w:t>是</w:t>
      </w:r>
      <w:r>
        <w:rPr>
          <w:rFonts w:eastAsia="方正楷体_GBK"/>
          <w:sz w:val="32"/>
        </w:rPr>
        <w:t>靶向发力开源赋能，就业态势平稳向好。</w:t>
      </w:r>
      <w:bookmarkStart w:id="1" w:name="OLE_LINK46"/>
      <w:r>
        <w:rPr>
          <w:rFonts w:eastAsia="方正仿宋_GBK"/>
          <w:sz w:val="32"/>
          <w:szCs w:val="32"/>
        </w:rPr>
        <w:t>统筹做好稳就业、促创业、防失业各项工作，</w:t>
      </w:r>
      <w:bookmarkStart w:id="2" w:name="OLE_LINK16"/>
      <w:r>
        <w:rPr>
          <w:rFonts w:eastAsia="方正仿宋_GBK"/>
          <w:sz w:val="32"/>
          <w:szCs w:val="32"/>
        </w:rPr>
        <w:t>全年实现城镇新增就业</w:t>
      </w:r>
      <w:r>
        <w:rPr>
          <w:rFonts w:eastAsia="方正仿宋_GBK" w:hint="eastAsia"/>
          <w:sz w:val="32"/>
          <w:szCs w:val="32"/>
        </w:rPr>
        <w:t>2</w:t>
      </w:r>
      <w:r>
        <w:rPr>
          <w:rFonts w:eastAsia="方正仿宋_GBK"/>
          <w:sz w:val="32"/>
          <w:szCs w:val="32"/>
        </w:rPr>
        <w:t>1.94</w:t>
      </w:r>
      <w:r>
        <w:rPr>
          <w:rFonts w:eastAsia="方正仿宋_GBK"/>
          <w:sz w:val="32"/>
          <w:szCs w:val="32"/>
        </w:rPr>
        <w:t>万人，再次获评</w:t>
      </w:r>
      <w:r>
        <w:rPr>
          <w:rFonts w:eastAsia="方正仿宋_GBK"/>
          <w:sz w:val="32"/>
          <w:szCs w:val="32"/>
        </w:rPr>
        <w:t>“</w:t>
      </w:r>
      <w:r>
        <w:rPr>
          <w:rFonts w:eastAsia="方正仿宋_GBK"/>
          <w:sz w:val="32"/>
          <w:szCs w:val="32"/>
        </w:rPr>
        <w:t>中国年度最佳促进就业城市</w:t>
      </w:r>
      <w:r>
        <w:rPr>
          <w:rFonts w:eastAsia="方正仿宋_GBK"/>
          <w:sz w:val="32"/>
          <w:szCs w:val="32"/>
        </w:rPr>
        <w:t>”</w:t>
      </w:r>
      <w:r>
        <w:rPr>
          <w:rFonts w:eastAsia="方正仿宋_GBK"/>
          <w:sz w:val="32"/>
          <w:szCs w:val="32"/>
        </w:rPr>
        <w:t>。</w:t>
      </w:r>
      <w:bookmarkStart w:id="3" w:name="OLE_LINK1"/>
      <w:bookmarkStart w:id="4" w:name="OLE_LINK2"/>
      <w:r>
        <w:rPr>
          <w:rFonts w:eastAsia="方正仿宋_GBK"/>
          <w:sz w:val="32"/>
          <w:szCs w:val="32"/>
        </w:rPr>
        <w:t>服务支持主导产业以及文旅等服务业企业，落实失业保险降费、稳岗返</w:t>
      </w:r>
      <w:r>
        <w:rPr>
          <w:rFonts w:eastAsia="方正仿宋_GBK"/>
          <w:color w:val="000000"/>
          <w:sz w:val="32"/>
          <w:szCs w:val="32"/>
        </w:rPr>
        <w:t>还、吸纳就业奖补等政策</w:t>
      </w:r>
      <w:r>
        <w:rPr>
          <w:rFonts w:eastAsia="方正仿宋_GBK"/>
          <w:sz w:val="32"/>
          <w:szCs w:val="32"/>
        </w:rPr>
        <w:t>助企减负</w:t>
      </w:r>
      <w:r>
        <w:rPr>
          <w:rFonts w:eastAsia="方正仿宋_GBK" w:hint="eastAsia"/>
          <w:sz w:val="32"/>
          <w:szCs w:val="32"/>
        </w:rPr>
        <w:t>4</w:t>
      </w:r>
      <w:r>
        <w:rPr>
          <w:rFonts w:eastAsia="方正仿宋_GBK"/>
          <w:sz w:val="32"/>
          <w:szCs w:val="32"/>
        </w:rPr>
        <w:t>2.23</w:t>
      </w:r>
      <w:r>
        <w:rPr>
          <w:rFonts w:eastAsia="方正仿宋_GBK"/>
          <w:sz w:val="32"/>
          <w:szCs w:val="32"/>
        </w:rPr>
        <w:t>亿元，助企专员</w:t>
      </w:r>
      <w:r>
        <w:rPr>
          <w:rFonts w:eastAsia="方正仿宋_GBK"/>
          <w:sz w:val="32"/>
          <w:szCs w:val="32"/>
        </w:rPr>
        <w:t>“</w:t>
      </w:r>
      <w:r>
        <w:rPr>
          <w:rFonts w:eastAsia="方正仿宋_GBK"/>
          <w:sz w:val="32"/>
          <w:szCs w:val="32"/>
        </w:rPr>
        <w:t>一对一</w:t>
      </w:r>
      <w:r>
        <w:rPr>
          <w:rFonts w:eastAsia="方正仿宋_GBK"/>
          <w:sz w:val="32"/>
          <w:szCs w:val="32"/>
        </w:rPr>
        <w:t>”</w:t>
      </w:r>
      <w:r>
        <w:rPr>
          <w:rFonts w:eastAsia="方正仿宋_GBK"/>
          <w:sz w:val="32"/>
          <w:szCs w:val="32"/>
          <w:lang w:bidi="ar"/>
        </w:rPr>
        <w:t>帮助</w:t>
      </w:r>
      <w:r>
        <w:rPr>
          <w:rFonts w:eastAsia="方正仿宋_GBK"/>
          <w:sz w:val="32"/>
          <w:szCs w:val="32"/>
        </w:rPr>
        <w:t>解决用工</w:t>
      </w:r>
      <w:r>
        <w:rPr>
          <w:rFonts w:eastAsia="方正仿宋_GBK" w:hint="eastAsia"/>
          <w:sz w:val="32"/>
          <w:szCs w:val="32"/>
        </w:rPr>
        <w:t>9.5</w:t>
      </w:r>
      <w:r>
        <w:rPr>
          <w:rFonts w:eastAsia="方正仿宋_GBK"/>
          <w:sz w:val="32"/>
          <w:szCs w:val="32"/>
        </w:rPr>
        <w:t>万人次。</w:t>
      </w:r>
      <w:r>
        <w:rPr>
          <w:rFonts w:eastAsia="方正仿宋_GBK"/>
          <w:color w:val="000000"/>
          <w:sz w:val="32"/>
          <w:szCs w:val="32"/>
        </w:rPr>
        <w:t>突出抓好高校毕业生等青年就业创业，</w:t>
      </w:r>
      <w:r>
        <w:rPr>
          <w:rFonts w:eastAsia="方正仿宋_GBK"/>
          <w:sz w:val="32"/>
          <w:szCs w:val="32"/>
        </w:rPr>
        <w:t>召开全市高校毕业生等青年就业创业工作推进会，筹集开发</w:t>
      </w:r>
      <w:r>
        <w:rPr>
          <w:rFonts w:eastAsia="方正仿宋_GBK"/>
          <w:sz w:val="32"/>
          <w:szCs w:val="32"/>
          <w:lang w:eastAsia="zh-Hans"/>
        </w:rPr>
        <w:t>就业岗位</w:t>
      </w:r>
      <w:r>
        <w:rPr>
          <w:rFonts w:eastAsia="方正仿宋_GBK" w:hint="eastAsia"/>
          <w:sz w:val="32"/>
          <w:szCs w:val="32"/>
          <w:lang w:eastAsia="zh-Hans"/>
        </w:rPr>
        <w:lastRenderedPageBreak/>
        <w:t>38.87</w:t>
      </w:r>
      <w:r>
        <w:rPr>
          <w:rFonts w:eastAsia="方正仿宋_GBK"/>
          <w:sz w:val="32"/>
          <w:szCs w:val="32"/>
          <w:lang w:eastAsia="zh-Hans"/>
        </w:rPr>
        <w:t>万个次，</w:t>
      </w:r>
      <w:r>
        <w:rPr>
          <w:rFonts w:eastAsia="方正仿宋_GBK"/>
          <w:sz w:val="32"/>
          <w:szCs w:val="32"/>
        </w:rPr>
        <w:t>在宁高校毕业生去向落实率达</w:t>
      </w:r>
      <w:r>
        <w:rPr>
          <w:rFonts w:eastAsia="方正仿宋_GBK" w:hint="eastAsia"/>
          <w:sz w:val="32"/>
          <w:szCs w:val="32"/>
        </w:rPr>
        <w:t>9</w:t>
      </w:r>
      <w:r>
        <w:rPr>
          <w:rFonts w:eastAsia="方正仿宋_GBK"/>
          <w:sz w:val="32"/>
          <w:szCs w:val="32"/>
        </w:rPr>
        <w:t>4%</w:t>
      </w:r>
      <w:r>
        <w:rPr>
          <w:rFonts w:eastAsia="方正仿宋_GBK"/>
          <w:sz w:val="32"/>
          <w:szCs w:val="32"/>
          <w:lang w:bidi="en-US"/>
        </w:rPr>
        <w:t>。面向</w:t>
      </w:r>
      <w:r>
        <w:rPr>
          <w:rFonts w:eastAsia="方正仿宋_GBK"/>
          <w:sz w:val="32"/>
          <w:szCs w:val="32"/>
          <w:lang w:bidi="ar"/>
        </w:rPr>
        <w:t>农村劳动力</w:t>
      </w:r>
      <w:r>
        <w:rPr>
          <w:rFonts w:eastAsia="方正仿宋_GBK"/>
          <w:sz w:val="32"/>
          <w:szCs w:val="32"/>
        </w:rPr>
        <w:t>深入开展</w:t>
      </w:r>
      <w:r>
        <w:rPr>
          <w:rFonts w:eastAsia="方正仿宋_GBK"/>
          <w:sz w:val="32"/>
          <w:szCs w:val="32"/>
        </w:rPr>
        <w:t>“</w:t>
      </w:r>
      <w:r>
        <w:rPr>
          <w:rFonts w:eastAsia="方正仿宋_GBK"/>
          <w:sz w:val="32"/>
          <w:szCs w:val="32"/>
        </w:rPr>
        <w:t>春风行动</w:t>
      </w:r>
      <w:r>
        <w:rPr>
          <w:rFonts w:eastAsia="方正仿宋_GBK"/>
          <w:sz w:val="32"/>
          <w:szCs w:val="32"/>
        </w:rPr>
        <w:t>”“</w:t>
      </w:r>
      <w:r>
        <w:rPr>
          <w:rFonts w:eastAsia="方正仿宋_GBK"/>
          <w:sz w:val="32"/>
          <w:szCs w:val="32"/>
        </w:rPr>
        <w:t>送岗大篷车</w:t>
      </w:r>
      <w:r>
        <w:rPr>
          <w:rFonts w:eastAsia="方正仿宋_GBK"/>
          <w:sz w:val="32"/>
          <w:szCs w:val="32"/>
        </w:rPr>
        <w:t>”</w:t>
      </w:r>
      <w:r>
        <w:rPr>
          <w:rFonts w:eastAsia="方正仿宋_GBK"/>
          <w:sz w:val="32"/>
          <w:szCs w:val="32"/>
        </w:rPr>
        <w:t>等活动，</w:t>
      </w:r>
      <w:r>
        <w:rPr>
          <w:rFonts w:eastAsia="方正仿宋_GBK"/>
          <w:sz w:val="32"/>
          <w:szCs w:val="32"/>
          <w:lang w:bidi="ar"/>
        </w:rPr>
        <w:t>建成</w:t>
      </w:r>
      <w:r>
        <w:rPr>
          <w:rFonts w:eastAsia="方正仿宋_GBK"/>
          <w:sz w:val="32"/>
          <w:szCs w:val="32"/>
        </w:rPr>
        <w:t>“</w:t>
      </w:r>
      <w:r>
        <w:rPr>
          <w:rFonts w:eastAsia="方正仿宋_GBK"/>
          <w:sz w:val="32"/>
          <w:szCs w:val="32"/>
        </w:rPr>
        <w:t>雨花码农</w:t>
      </w:r>
      <w:r>
        <w:rPr>
          <w:rFonts w:eastAsia="方正仿宋_GBK"/>
          <w:sz w:val="32"/>
          <w:szCs w:val="32"/>
        </w:rPr>
        <w:t>”“</w:t>
      </w:r>
      <w:r>
        <w:rPr>
          <w:rFonts w:eastAsia="方正仿宋_GBK"/>
          <w:sz w:val="32"/>
          <w:szCs w:val="32"/>
        </w:rPr>
        <w:t>宁好苏嫂</w:t>
      </w:r>
      <w:r>
        <w:rPr>
          <w:rFonts w:eastAsia="方正仿宋_GBK"/>
          <w:sz w:val="32"/>
          <w:szCs w:val="32"/>
        </w:rPr>
        <w:t>”</w:t>
      </w:r>
      <w:r>
        <w:rPr>
          <w:rFonts w:eastAsia="方正仿宋_GBK"/>
          <w:sz w:val="32"/>
          <w:szCs w:val="32"/>
          <w:lang w:bidi="ar"/>
        </w:rPr>
        <w:t>等</w:t>
      </w:r>
      <w:r>
        <w:rPr>
          <w:rFonts w:eastAsia="方正仿宋_GBK" w:hint="eastAsia"/>
          <w:sz w:val="32"/>
          <w:szCs w:val="32"/>
          <w:lang w:bidi="ar"/>
        </w:rPr>
        <w:t>4</w:t>
      </w:r>
      <w:r>
        <w:rPr>
          <w:rFonts w:eastAsia="方正仿宋_GBK"/>
          <w:sz w:val="32"/>
          <w:szCs w:val="32"/>
          <w:lang w:bidi="ar"/>
        </w:rPr>
        <w:t>0</w:t>
      </w:r>
      <w:r>
        <w:rPr>
          <w:rFonts w:eastAsia="方正仿宋_GBK"/>
          <w:sz w:val="32"/>
          <w:szCs w:val="32"/>
          <w:lang w:bidi="ar"/>
        </w:rPr>
        <w:t>个省、市级劳务品牌。面向就业困难群体</w:t>
      </w:r>
      <w:r>
        <w:rPr>
          <w:rFonts w:eastAsia="方正仿宋_GBK"/>
          <w:sz w:val="32"/>
          <w:szCs w:val="32"/>
        </w:rPr>
        <w:t>常态化提供</w:t>
      </w:r>
      <w:r>
        <w:rPr>
          <w:rFonts w:eastAsia="方正仿宋_GBK"/>
          <w:sz w:val="32"/>
          <w:szCs w:val="32"/>
        </w:rPr>
        <w:t>“1311”</w:t>
      </w:r>
      <w:r>
        <w:rPr>
          <w:rFonts w:eastAsia="方正仿宋_GBK"/>
          <w:sz w:val="32"/>
          <w:szCs w:val="32"/>
        </w:rPr>
        <w:t>个性化就业援助</w:t>
      </w:r>
      <w:r>
        <w:rPr>
          <w:rFonts w:eastAsia="方正仿宋_GBK"/>
          <w:sz w:val="32"/>
          <w:szCs w:val="32"/>
          <w:lang w:bidi="ar"/>
        </w:rPr>
        <w:t>，建成</w:t>
      </w:r>
      <w:r>
        <w:rPr>
          <w:rFonts w:eastAsia="方正仿宋_GBK" w:hint="eastAsia"/>
          <w:sz w:val="32"/>
          <w:szCs w:val="32"/>
          <w:lang w:bidi="ar"/>
        </w:rPr>
        <w:t>1</w:t>
      </w:r>
      <w:r>
        <w:rPr>
          <w:rFonts w:eastAsia="方正仿宋_GBK"/>
          <w:sz w:val="32"/>
          <w:szCs w:val="32"/>
          <w:lang w:bidi="ar"/>
        </w:rPr>
        <w:t>02</w:t>
      </w:r>
      <w:r>
        <w:rPr>
          <w:rFonts w:eastAsia="方正仿宋_GBK"/>
          <w:sz w:val="32"/>
          <w:szCs w:val="32"/>
          <w:lang w:bidi="ar"/>
        </w:rPr>
        <w:t>个标准化</w:t>
      </w:r>
      <w:r>
        <w:rPr>
          <w:rFonts w:eastAsia="方正仿宋_GBK"/>
          <w:sz w:val="32"/>
          <w:szCs w:val="32"/>
          <w:lang w:bidi="ar"/>
        </w:rPr>
        <w:t>“</w:t>
      </w:r>
      <w:r>
        <w:rPr>
          <w:rFonts w:eastAsia="方正仿宋_GBK"/>
          <w:sz w:val="32"/>
          <w:szCs w:val="32"/>
          <w:lang w:bidi="ar"/>
        </w:rPr>
        <w:t>家门口</w:t>
      </w:r>
      <w:r>
        <w:rPr>
          <w:rFonts w:eastAsia="方正仿宋_GBK"/>
          <w:sz w:val="32"/>
          <w:szCs w:val="32"/>
          <w:lang w:bidi="ar"/>
        </w:rPr>
        <w:t>”</w:t>
      </w:r>
      <w:r>
        <w:rPr>
          <w:rFonts w:eastAsia="方正仿宋_GBK"/>
          <w:sz w:val="32"/>
          <w:szCs w:val="32"/>
          <w:lang w:bidi="ar"/>
        </w:rPr>
        <w:t>就业服务站，开发公益性岗位兜底安置</w:t>
      </w:r>
      <w:r>
        <w:rPr>
          <w:rFonts w:eastAsia="方正仿宋_GBK" w:hint="eastAsia"/>
          <w:sz w:val="32"/>
          <w:szCs w:val="32"/>
        </w:rPr>
        <w:t>626</w:t>
      </w:r>
      <w:r>
        <w:rPr>
          <w:rFonts w:eastAsia="方正仿宋_GBK"/>
          <w:sz w:val="32"/>
          <w:szCs w:val="32"/>
        </w:rPr>
        <w:t>人，</w:t>
      </w:r>
      <w:r>
        <w:rPr>
          <w:rFonts w:eastAsia="方正仿宋_GBK" w:hint="eastAsia"/>
          <w:sz w:val="32"/>
          <w:szCs w:val="32"/>
        </w:rPr>
        <w:t>全年</w:t>
      </w:r>
      <w:r>
        <w:rPr>
          <w:rFonts w:eastAsia="方正仿宋_GBK"/>
          <w:sz w:val="32"/>
          <w:szCs w:val="32"/>
        </w:rPr>
        <w:t>援助困难人员就业</w:t>
      </w:r>
      <w:r>
        <w:rPr>
          <w:rFonts w:eastAsia="方正仿宋_GBK" w:hint="eastAsia"/>
          <w:sz w:val="32"/>
          <w:szCs w:val="32"/>
        </w:rPr>
        <w:t>2</w:t>
      </w:r>
      <w:r>
        <w:rPr>
          <w:rFonts w:eastAsia="方正仿宋_GBK"/>
          <w:sz w:val="32"/>
          <w:szCs w:val="32"/>
        </w:rPr>
        <w:t>.03</w:t>
      </w:r>
      <w:r>
        <w:rPr>
          <w:rFonts w:eastAsia="方正仿宋_GBK"/>
          <w:sz w:val="32"/>
          <w:szCs w:val="32"/>
        </w:rPr>
        <w:t>万人</w:t>
      </w:r>
      <w:bookmarkEnd w:id="2"/>
      <w:r>
        <w:rPr>
          <w:rFonts w:eastAsia="方正仿宋_GBK"/>
          <w:sz w:val="32"/>
          <w:szCs w:val="32"/>
        </w:rPr>
        <w:t>。支持多渠道灵活就业，</w:t>
      </w:r>
      <w:r>
        <w:rPr>
          <w:rFonts w:eastAsia="方正仿宋_GBK"/>
          <w:color w:val="000000"/>
          <w:sz w:val="32"/>
          <w:szCs w:val="32"/>
        </w:rPr>
        <w:t>建成</w:t>
      </w:r>
      <w:r>
        <w:rPr>
          <w:rFonts w:eastAsia="方正仿宋_GBK" w:hint="eastAsia"/>
          <w:color w:val="000000"/>
          <w:sz w:val="32"/>
          <w:szCs w:val="32"/>
        </w:rPr>
        <w:t>1</w:t>
      </w:r>
      <w:r>
        <w:rPr>
          <w:rFonts w:eastAsia="方正仿宋_GBK"/>
          <w:color w:val="000000"/>
          <w:sz w:val="32"/>
          <w:szCs w:val="32"/>
        </w:rPr>
        <w:t>2</w:t>
      </w:r>
      <w:r>
        <w:rPr>
          <w:rFonts w:eastAsia="方正仿宋_GBK"/>
          <w:color w:val="000000"/>
          <w:sz w:val="32"/>
          <w:szCs w:val="32"/>
        </w:rPr>
        <w:t>个规范化零工市场。</w:t>
      </w:r>
      <w:bookmarkEnd w:id="1"/>
      <w:r>
        <w:rPr>
          <w:rFonts w:eastAsia="方正仿宋_GBK"/>
          <w:snapToGrid w:val="0"/>
          <w:kern w:val="0"/>
          <w:sz w:val="32"/>
          <w:szCs w:val="32"/>
        </w:rPr>
        <w:t>深入实施职业技能提升行动，政府</w:t>
      </w:r>
      <w:r>
        <w:rPr>
          <w:rFonts w:eastAsia="方正仿宋_GBK"/>
          <w:sz w:val="32"/>
          <w:szCs w:val="32"/>
        </w:rPr>
        <w:t>补贴培训工种扩增至</w:t>
      </w:r>
      <w:r>
        <w:rPr>
          <w:rFonts w:eastAsia="方正仿宋_GBK" w:hint="eastAsia"/>
          <w:color w:val="000000"/>
          <w:sz w:val="32"/>
          <w:szCs w:val="32"/>
        </w:rPr>
        <w:t>747</w:t>
      </w:r>
      <w:r>
        <w:rPr>
          <w:rFonts w:eastAsia="方正仿宋_GBK"/>
          <w:snapToGrid w:val="0"/>
          <w:kern w:val="0"/>
          <w:sz w:val="32"/>
          <w:szCs w:val="32"/>
        </w:rPr>
        <w:t>个，全年</w:t>
      </w:r>
      <w:r>
        <w:rPr>
          <w:rFonts w:eastAsia="方正仿宋_GBK"/>
          <w:color w:val="000000"/>
          <w:sz w:val="32"/>
          <w:szCs w:val="32"/>
        </w:rPr>
        <w:t>开展补贴性职业技能培训</w:t>
      </w:r>
      <w:r>
        <w:rPr>
          <w:rFonts w:eastAsia="方正仿宋_GBK"/>
          <w:sz w:val="32"/>
          <w:szCs w:val="32"/>
        </w:rPr>
        <w:t>15.4</w:t>
      </w:r>
      <w:r>
        <w:rPr>
          <w:rFonts w:eastAsia="方正仿宋_GBK"/>
          <w:color w:val="000000"/>
          <w:sz w:val="32"/>
          <w:szCs w:val="32"/>
        </w:rPr>
        <w:t>万人次。分级分类做好重点企业用工监测和失业动态监测预警，防范化解规模性失业风险。</w:t>
      </w:r>
      <w:bookmarkEnd w:id="3"/>
      <w:bookmarkEnd w:id="4"/>
      <w:r>
        <w:rPr>
          <w:rFonts w:eastAsia="方正楷体_GBK"/>
          <w:sz w:val="32"/>
        </w:rPr>
        <w:t>二</w:t>
      </w:r>
      <w:r>
        <w:rPr>
          <w:rFonts w:eastAsia="方正楷体_GBK" w:hint="eastAsia"/>
          <w:sz w:val="32"/>
        </w:rPr>
        <w:t>是</w:t>
      </w:r>
      <w:r>
        <w:rPr>
          <w:rFonts w:eastAsia="方正楷体_GBK"/>
          <w:sz w:val="32"/>
        </w:rPr>
        <w:t>引育并举创新突破，人才质数持续攀升。</w:t>
      </w:r>
      <w:r>
        <w:rPr>
          <w:rFonts w:eastAsia="方正仿宋_GBK"/>
          <w:sz w:val="32"/>
          <w:szCs w:val="32"/>
        </w:rPr>
        <w:t>贯彻</w:t>
      </w:r>
      <w:r>
        <w:rPr>
          <w:rFonts w:eastAsia="方正仿宋_GBK"/>
          <w:snapToGrid w:val="0"/>
          <w:color w:val="000000"/>
          <w:kern w:val="0"/>
          <w:sz w:val="32"/>
          <w:szCs w:val="32"/>
        </w:rPr>
        <w:t>落实</w:t>
      </w:r>
      <w:r>
        <w:rPr>
          <w:rFonts w:eastAsia="方正仿宋_GBK"/>
          <w:snapToGrid w:val="0"/>
          <w:color w:val="000000"/>
          <w:kern w:val="0"/>
          <w:sz w:val="32"/>
          <w:szCs w:val="32"/>
        </w:rPr>
        <w:t>“</w:t>
      </w:r>
      <w:r>
        <w:rPr>
          <w:rFonts w:eastAsia="方正仿宋_GBK"/>
          <w:snapToGrid w:val="0"/>
          <w:color w:val="000000"/>
          <w:kern w:val="0"/>
          <w:sz w:val="32"/>
          <w:szCs w:val="32"/>
        </w:rPr>
        <w:t>人才强市</w:t>
      </w:r>
      <w:r>
        <w:rPr>
          <w:rFonts w:eastAsia="方正仿宋_GBK"/>
          <w:snapToGrid w:val="0"/>
          <w:color w:val="000000"/>
          <w:kern w:val="0"/>
          <w:sz w:val="32"/>
          <w:szCs w:val="32"/>
        </w:rPr>
        <w:t>25</w:t>
      </w:r>
      <w:r>
        <w:rPr>
          <w:rFonts w:eastAsia="方正仿宋_GBK"/>
          <w:snapToGrid w:val="0"/>
          <w:color w:val="000000"/>
          <w:kern w:val="0"/>
          <w:sz w:val="32"/>
          <w:szCs w:val="32"/>
        </w:rPr>
        <w:t>条</w:t>
      </w:r>
      <w:r>
        <w:rPr>
          <w:rFonts w:eastAsia="方正仿宋_GBK"/>
          <w:snapToGrid w:val="0"/>
          <w:color w:val="000000"/>
          <w:kern w:val="0"/>
          <w:sz w:val="32"/>
          <w:szCs w:val="32"/>
        </w:rPr>
        <w:t>”</w:t>
      </w:r>
      <w:r>
        <w:rPr>
          <w:rFonts w:eastAsia="方正仿宋_GBK"/>
          <w:snapToGrid w:val="0"/>
          <w:color w:val="000000"/>
          <w:kern w:val="0"/>
          <w:sz w:val="32"/>
          <w:szCs w:val="32"/>
        </w:rPr>
        <w:t>和重点产业人才新政，</w:t>
      </w:r>
      <w:r>
        <w:rPr>
          <w:rFonts w:eastAsia="方正仿宋_GBK"/>
          <w:sz w:val="32"/>
        </w:rPr>
        <w:t>大力引进海外人才，成功</w:t>
      </w:r>
      <w:r>
        <w:rPr>
          <w:rFonts w:eastAsia="方正仿宋_GBK"/>
          <w:kern w:val="0"/>
          <w:sz w:val="32"/>
          <w:szCs w:val="32"/>
        </w:rPr>
        <w:t>举办第十六届南京留交会，</w:t>
      </w:r>
      <w:r>
        <w:rPr>
          <w:rFonts w:eastAsia="方正仿宋_GBK" w:hint="eastAsia"/>
          <w:kern w:val="0"/>
          <w:sz w:val="32"/>
          <w:szCs w:val="32"/>
        </w:rPr>
        <w:t>5</w:t>
      </w:r>
      <w:r>
        <w:rPr>
          <w:rFonts w:eastAsia="方正仿宋_GBK"/>
          <w:kern w:val="0"/>
          <w:sz w:val="32"/>
          <w:szCs w:val="32"/>
        </w:rPr>
        <w:t>人入选国家</w:t>
      </w:r>
      <w:r>
        <w:rPr>
          <w:rFonts w:eastAsia="方正仿宋_GBK" w:hint="eastAsia"/>
          <w:kern w:val="0"/>
          <w:sz w:val="32"/>
          <w:szCs w:val="32"/>
        </w:rPr>
        <w:t>级</w:t>
      </w:r>
      <w:r>
        <w:rPr>
          <w:rFonts w:eastAsia="方正仿宋_GBK"/>
          <w:sz w:val="32"/>
        </w:rPr>
        <w:t>留学人才计划，全市新增留学回国人员</w:t>
      </w:r>
      <w:r>
        <w:rPr>
          <w:rFonts w:eastAsia="方正仿宋_GBK"/>
          <w:kern w:val="0"/>
          <w:sz w:val="32"/>
          <w:szCs w:val="32"/>
        </w:rPr>
        <w:t>7258</w:t>
      </w:r>
      <w:r>
        <w:rPr>
          <w:rFonts w:eastAsia="方正仿宋_GBK"/>
          <w:kern w:val="0"/>
          <w:sz w:val="32"/>
          <w:szCs w:val="32"/>
        </w:rPr>
        <w:t>人</w:t>
      </w:r>
      <w:r>
        <w:rPr>
          <w:rFonts w:eastAsia="方正仿宋_GBK"/>
          <w:sz w:val="32"/>
        </w:rPr>
        <w:t>全省第一</w:t>
      </w:r>
      <w:r>
        <w:rPr>
          <w:rFonts w:eastAsia="方正仿宋_GBK"/>
          <w:kern w:val="0"/>
          <w:sz w:val="32"/>
          <w:szCs w:val="32"/>
        </w:rPr>
        <w:t>，总量达</w:t>
      </w:r>
      <w:r>
        <w:rPr>
          <w:rFonts w:eastAsia="方正仿宋_GBK"/>
          <w:kern w:val="0"/>
          <w:sz w:val="32"/>
          <w:szCs w:val="32"/>
        </w:rPr>
        <w:t>7.31</w:t>
      </w:r>
      <w:r>
        <w:rPr>
          <w:rFonts w:eastAsia="方正仿宋_GBK"/>
          <w:kern w:val="0"/>
          <w:sz w:val="32"/>
          <w:szCs w:val="32"/>
        </w:rPr>
        <w:t>万</w:t>
      </w:r>
      <w:r>
        <w:rPr>
          <w:rFonts w:eastAsia="方正仿宋_GBK"/>
          <w:sz w:val="32"/>
        </w:rPr>
        <w:t>人</w:t>
      </w:r>
      <w:bookmarkStart w:id="5" w:name="OLE_LINK50"/>
      <w:r>
        <w:rPr>
          <w:rFonts w:eastAsia="方正仿宋_GBK"/>
          <w:sz w:val="32"/>
        </w:rPr>
        <w:t>。</w:t>
      </w:r>
      <w:r>
        <w:rPr>
          <w:rFonts w:eastAsia="方正仿宋_GBK"/>
          <w:kern w:val="0"/>
          <w:sz w:val="32"/>
          <w:szCs w:val="32"/>
        </w:rPr>
        <w:t>加快推进博站建设，成功举办首届</w:t>
      </w:r>
      <w:bookmarkStart w:id="6" w:name="OLE_LINK28"/>
      <w:r>
        <w:rPr>
          <w:rFonts w:eastAsia="方正仿宋_GBK"/>
          <w:kern w:val="0"/>
          <w:sz w:val="32"/>
          <w:szCs w:val="32"/>
        </w:rPr>
        <w:t>南京博士后创新创业大赛</w:t>
      </w:r>
      <w:bookmarkEnd w:id="6"/>
      <w:r>
        <w:rPr>
          <w:rFonts w:eastAsia="方正仿宋_GBK"/>
          <w:kern w:val="0"/>
          <w:sz w:val="32"/>
          <w:szCs w:val="32"/>
        </w:rPr>
        <w:t>，全年新引进博士后</w:t>
      </w:r>
      <w:r>
        <w:rPr>
          <w:rFonts w:eastAsia="方正仿宋_GBK"/>
          <w:sz w:val="32"/>
          <w:szCs w:val="32"/>
        </w:rPr>
        <w:t>445</w:t>
      </w:r>
      <w:r>
        <w:rPr>
          <w:rFonts w:eastAsia="方正仿宋_GBK"/>
          <w:kern w:val="0"/>
          <w:sz w:val="32"/>
          <w:szCs w:val="32"/>
        </w:rPr>
        <w:t>人，</w:t>
      </w:r>
      <w:r>
        <w:rPr>
          <w:rFonts w:eastAsia="方正仿宋_GBK"/>
          <w:sz w:val="32"/>
          <w:szCs w:val="32"/>
        </w:rPr>
        <w:t>140</w:t>
      </w:r>
      <w:r>
        <w:rPr>
          <w:rFonts w:eastAsia="方正仿宋_GBK"/>
          <w:sz w:val="32"/>
          <w:szCs w:val="32"/>
        </w:rPr>
        <w:t>人入选省卓越博士后计划，两项均为全省最多，</w:t>
      </w:r>
      <w:r>
        <w:rPr>
          <w:rFonts w:eastAsia="方正仿宋_GBK"/>
          <w:kern w:val="0"/>
          <w:sz w:val="32"/>
          <w:szCs w:val="32"/>
        </w:rPr>
        <w:t>新增</w:t>
      </w:r>
      <w:r>
        <w:rPr>
          <w:rFonts w:eastAsia="方正仿宋_GBK" w:hint="eastAsia"/>
          <w:sz w:val="32"/>
          <w:szCs w:val="32"/>
        </w:rPr>
        <w:t>4</w:t>
      </w:r>
      <w:r>
        <w:rPr>
          <w:rFonts w:eastAsia="方正仿宋_GBK"/>
          <w:sz w:val="32"/>
          <w:szCs w:val="32"/>
        </w:rPr>
        <w:t>0</w:t>
      </w:r>
      <w:r>
        <w:rPr>
          <w:rFonts w:eastAsia="方正仿宋_GBK"/>
          <w:sz w:val="32"/>
          <w:szCs w:val="32"/>
        </w:rPr>
        <w:t>名市有突出贡献中青年专家，全市专业技术人才总量达</w:t>
      </w:r>
      <w:r>
        <w:rPr>
          <w:rFonts w:eastAsia="方正仿宋_GBK"/>
          <w:sz w:val="32"/>
          <w:szCs w:val="32"/>
        </w:rPr>
        <w:t>211.93</w:t>
      </w:r>
      <w:r>
        <w:rPr>
          <w:rFonts w:eastAsia="方正仿宋_GBK"/>
          <w:sz w:val="32"/>
          <w:szCs w:val="32"/>
        </w:rPr>
        <w:t>万人</w:t>
      </w:r>
      <w:bookmarkStart w:id="7" w:name="OLE_LINK4"/>
      <w:bookmarkStart w:id="8" w:name="OLE_LINK3"/>
      <w:r>
        <w:rPr>
          <w:rFonts w:eastAsia="方正仿宋_GBK"/>
          <w:sz w:val="32"/>
          <w:szCs w:val="32"/>
        </w:rPr>
        <w:t>。</w:t>
      </w:r>
      <w:bookmarkEnd w:id="5"/>
      <w:r>
        <w:rPr>
          <w:rFonts w:eastAsia="方正仿宋_GBK"/>
          <w:color w:val="000000"/>
          <w:sz w:val="32"/>
          <w:szCs w:val="32"/>
        </w:rPr>
        <w:t>鼓励多元主体参与技能人才评价认定，</w:t>
      </w:r>
      <w:bookmarkEnd w:id="7"/>
      <w:bookmarkEnd w:id="8"/>
      <w:r>
        <w:rPr>
          <w:rFonts w:eastAsia="方正仿宋_GBK"/>
          <w:sz w:val="32"/>
          <w:szCs w:val="32"/>
        </w:rPr>
        <w:t>深入推进专业技术职称和职业技能等级双向贯通，</w:t>
      </w:r>
      <w:bookmarkStart w:id="9" w:name="OLE_LINK51"/>
      <w:bookmarkStart w:id="10" w:name="OLE_LINK52"/>
      <w:r>
        <w:rPr>
          <w:rFonts w:eastAsia="方正仿宋_GBK"/>
          <w:sz w:val="32"/>
          <w:szCs w:val="32"/>
        </w:rPr>
        <w:t>深化工学一体改革推动技工教育高质量发展，新增</w:t>
      </w:r>
      <w:r>
        <w:rPr>
          <w:rFonts w:eastAsia="方正仿宋_GBK" w:hint="eastAsia"/>
          <w:sz w:val="32"/>
          <w:szCs w:val="32"/>
        </w:rPr>
        <w:t>2</w:t>
      </w:r>
      <w:r>
        <w:rPr>
          <w:rFonts w:eastAsia="方正仿宋_GBK"/>
          <w:sz w:val="32"/>
          <w:szCs w:val="32"/>
        </w:rPr>
        <w:t>1</w:t>
      </w:r>
      <w:r>
        <w:rPr>
          <w:rFonts w:eastAsia="方正仿宋_GBK"/>
          <w:sz w:val="32"/>
          <w:szCs w:val="32"/>
        </w:rPr>
        <w:t>名省卓越技师，我市选手</w:t>
      </w:r>
      <w:r>
        <w:rPr>
          <w:rFonts w:eastAsia="方正仿宋_GBK"/>
          <w:kern w:val="0"/>
          <w:sz w:val="32"/>
          <w:szCs w:val="32"/>
        </w:rPr>
        <w:t>获第</w:t>
      </w:r>
      <w:r>
        <w:rPr>
          <w:rFonts w:eastAsia="方正仿宋_GBK"/>
          <w:kern w:val="0"/>
          <w:sz w:val="32"/>
          <w:szCs w:val="32"/>
        </w:rPr>
        <w:t>47</w:t>
      </w:r>
      <w:r>
        <w:rPr>
          <w:rFonts w:eastAsia="方正仿宋_GBK"/>
          <w:kern w:val="0"/>
          <w:sz w:val="32"/>
          <w:szCs w:val="32"/>
        </w:rPr>
        <w:t>届世界技能大赛摘金实现突破</w:t>
      </w:r>
      <w:bookmarkStart w:id="11" w:name="OLE_LINK5"/>
      <w:r>
        <w:rPr>
          <w:rFonts w:eastAsia="方正仿宋_GBK"/>
          <w:kern w:val="0"/>
          <w:sz w:val="32"/>
          <w:szCs w:val="32"/>
        </w:rPr>
        <w:t>，</w:t>
      </w:r>
      <w:r>
        <w:rPr>
          <w:rFonts w:eastAsia="方正仿宋_GBK"/>
          <w:sz w:val="32"/>
          <w:szCs w:val="32"/>
        </w:rPr>
        <w:t>高技能人才总量达</w:t>
      </w:r>
      <w:r>
        <w:rPr>
          <w:rFonts w:eastAsia="方正仿宋_GBK" w:hint="eastAsia"/>
          <w:sz w:val="32"/>
          <w:szCs w:val="32"/>
        </w:rPr>
        <w:t>5</w:t>
      </w:r>
      <w:r>
        <w:rPr>
          <w:rFonts w:eastAsia="方正仿宋_GBK"/>
          <w:sz w:val="32"/>
          <w:szCs w:val="32"/>
        </w:rPr>
        <w:t>8.2</w:t>
      </w:r>
      <w:r>
        <w:rPr>
          <w:rFonts w:eastAsia="方正仿宋_GBK"/>
          <w:sz w:val="32"/>
          <w:szCs w:val="32"/>
        </w:rPr>
        <w:t>万人次</w:t>
      </w:r>
      <w:bookmarkEnd w:id="11"/>
      <w:r>
        <w:rPr>
          <w:rFonts w:eastAsia="方正仿宋_GBK"/>
          <w:sz w:val="32"/>
          <w:szCs w:val="32"/>
        </w:rPr>
        <w:t>。</w:t>
      </w:r>
      <w:bookmarkStart w:id="12" w:name="OLE_LINK49"/>
      <w:bookmarkStart w:id="13" w:name="OLE_LINK48"/>
      <w:bookmarkEnd w:id="9"/>
      <w:bookmarkEnd w:id="10"/>
      <w:r>
        <w:rPr>
          <w:rFonts w:eastAsia="方正仿宋_GBK"/>
          <w:sz w:val="32"/>
        </w:rPr>
        <w:t>加强企业孵育平台建设，新增</w:t>
      </w:r>
      <w:r>
        <w:rPr>
          <w:rFonts w:eastAsia="方正仿宋_GBK"/>
          <w:sz w:val="32"/>
        </w:rPr>
        <w:t>36</w:t>
      </w:r>
      <w:r>
        <w:rPr>
          <w:rFonts w:eastAsia="方正仿宋_GBK"/>
          <w:sz w:val="32"/>
        </w:rPr>
        <w:t>家市级企业专家工作室，市级累计达</w:t>
      </w:r>
      <w:r>
        <w:rPr>
          <w:rFonts w:eastAsia="方正仿宋_GBK" w:hint="eastAsia"/>
          <w:sz w:val="32"/>
        </w:rPr>
        <w:t>1</w:t>
      </w:r>
      <w:r>
        <w:rPr>
          <w:rFonts w:eastAsia="方正仿宋_GBK"/>
          <w:sz w:val="32"/>
        </w:rPr>
        <w:t>16</w:t>
      </w:r>
      <w:r>
        <w:rPr>
          <w:rFonts w:eastAsia="方正仿宋_GBK"/>
          <w:sz w:val="32"/>
        </w:rPr>
        <w:t>家、区级</w:t>
      </w:r>
      <w:r>
        <w:rPr>
          <w:rFonts w:eastAsia="方正仿宋_GBK" w:hint="eastAsia"/>
          <w:sz w:val="32"/>
        </w:rPr>
        <w:t>2</w:t>
      </w:r>
      <w:r>
        <w:rPr>
          <w:rFonts w:eastAsia="方正仿宋_GBK"/>
          <w:sz w:val="32"/>
        </w:rPr>
        <w:t>13</w:t>
      </w:r>
      <w:r>
        <w:rPr>
          <w:rFonts w:eastAsia="方正仿宋_GBK"/>
          <w:sz w:val="32"/>
        </w:rPr>
        <w:t>家。</w:t>
      </w:r>
      <w:bookmarkEnd w:id="12"/>
      <w:bookmarkEnd w:id="13"/>
      <w:r>
        <w:rPr>
          <w:rFonts w:eastAsia="方正仿宋_GBK"/>
          <w:sz w:val="32"/>
          <w:szCs w:val="32"/>
        </w:rPr>
        <w:t>用足用好事业单位岗位管理、</w:t>
      </w:r>
      <w:r>
        <w:rPr>
          <w:rFonts w:eastAsia="方正仿宋_GBK"/>
          <w:sz w:val="32"/>
        </w:rPr>
        <w:t>高层次人才事业编制</w:t>
      </w:r>
      <w:r>
        <w:rPr>
          <w:rFonts w:eastAsia="方正仿宋_GBK"/>
          <w:sz w:val="32"/>
        </w:rPr>
        <w:t>“</w:t>
      </w:r>
      <w:r>
        <w:rPr>
          <w:rFonts w:eastAsia="方正仿宋_GBK"/>
          <w:sz w:val="32"/>
        </w:rPr>
        <w:t>周转池</w:t>
      </w:r>
      <w:r>
        <w:rPr>
          <w:rFonts w:eastAsia="方正仿宋_GBK"/>
          <w:sz w:val="32"/>
        </w:rPr>
        <w:t>”</w:t>
      </w:r>
      <w:r>
        <w:rPr>
          <w:rFonts w:eastAsia="方正仿宋_GBK"/>
          <w:sz w:val="32"/>
        </w:rPr>
        <w:t>、多元化薪酬分配</w:t>
      </w:r>
      <w:r>
        <w:rPr>
          <w:rFonts w:eastAsia="方正仿宋_GBK"/>
          <w:sz w:val="32"/>
        </w:rPr>
        <w:lastRenderedPageBreak/>
        <w:t>等政策</w:t>
      </w:r>
      <w:r>
        <w:rPr>
          <w:rFonts w:eastAsia="方正仿宋_GBK"/>
          <w:sz w:val="32"/>
          <w:szCs w:val="32"/>
        </w:rPr>
        <w:t>，激发</w:t>
      </w:r>
      <w:r>
        <w:rPr>
          <w:rFonts w:eastAsia="方正仿宋_GBK"/>
          <w:sz w:val="32"/>
        </w:rPr>
        <w:t>事业单位人才队伍活力</w:t>
      </w:r>
      <w:r>
        <w:rPr>
          <w:rFonts w:eastAsia="方正仿宋_GBK"/>
          <w:sz w:val="32"/>
          <w:szCs w:val="32"/>
        </w:rPr>
        <w:t>。</w:t>
      </w:r>
      <w:r>
        <w:rPr>
          <w:rFonts w:eastAsia="方正楷体_GBK"/>
          <w:sz w:val="32"/>
        </w:rPr>
        <w:t>三</w:t>
      </w:r>
      <w:r>
        <w:rPr>
          <w:rFonts w:eastAsia="方正楷体_GBK" w:hint="eastAsia"/>
          <w:sz w:val="32"/>
        </w:rPr>
        <w:t>是</w:t>
      </w:r>
      <w:r>
        <w:rPr>
          <w:rFonts w:eastAsia="方正楷体_GBK"/>
          <w:sz w:val="32"/>
        </w:rPr>
        <w:t>深化改革精准扩面，社保水平有力提升。</w:t>
      </w:r>
      <w:bookmarkStart w:id="14" w:name="OLE_LINK25"/>
      <w:r>
        <w:rPr>
          <w:rFonts w:eastAsia="方正仿宋_GBK"/>
          <w:bCs/>
          <w:sz w:val="32"/>
          <w:szCs w:val="32"/>
        </w:rPr>
        <w:t>稳妥</w:t>
      </w:r>
      <w:r>
        <w:rPr>
          <w:rFonts w:eastAsia="方正仿宋_GBK"/>
          <w:bCs/>
          <w:snapToGrid w:val="0"/>
          <w:kern w:val="0"/>
          <w:sz w:val="32"/>
          <w:szCs w:val="32"/>
        </w:rPr>
        <w:t>完成企业退休人员过渡性养老金计发办法调整和首次增发工作，惠及</w:t>
      </w:r>
      <w:r>
        <w:rPr>
          <w:rFonts w:eastAsia="方正仿宋_GBK" w:hint="eastAsia"/>
          <w:bCs/>
          <w:snapToGrid w:val="0"/>
          <w:kern w:val="0"/>
          <w:sz w:val="32"/>
          <w:szCs w:val="32"/>
        </w:rPr>
        <w:t>6</w:t>
      </w:r>
      <w:r>
        <w:rPr>
          <w:rFonts w:eastAsia="方正仿宋_GBK"/>
          <w:bCs/>
          <w:snapToGrid w:val="0"/>
          <w:kern w:val="0"/>
          <w:sz w:val="32"/>
          <w:szCs w:val="32"/>
        </w:rPr>
        <w:t>6.58</w:t>
      </w:r>
      <w:r>
        <w:rPr>
          <w:rFonts w:eastAsia="方正仿宋_GBK"/>
          <w:bCs/>
          <w:snapToGrid w:val="0"/>
          <w:kern w:val="0"/>
          <w:sz w:val="32"/>
          <w:szCs w:val="32"/>
        </w:rPr>
        <w:t>万名退休人员。</w:t>
      </w:r>
      <w:r>
        <w:rPr>
          <w:rFonts w:eastAsia="方正仿宋_GBK"/>
          <w:snapToGrid w:val="0"/>
          <w:kern w:val="0"/>
          <w:sz w:val="32"/>
          <w:szCs w:val="32"/>
        </w:rPr>
        <w:t>根据上级部署有序推进</w:t>
      </w:r>
      <w:r>
        <w:rPr>
          <w:rFonts w:eastAsia="方正仿宋_GBK"/>
          <w:sz w:val="32"/>
          <w:szCs w:val="32"/>
        </w:rPr>
        <w:t>养老保险全国统筹、</w:t>
      </w:r>
      <w:r>
        <w:rPr>
          <w:rFonts w:eastAsia="方正仿宋_GBK"/>
          <w:snapToGrid w:val="0"/>
          <w:kern w:val="0"/>
          <w:sz w:val="32"/>
          <w:szCs w:val="32"/>
        </w:rPr>
        <w:t>渐进式延迟法定退休年龄改革</w:t>
      </w:r>
      <w:r>
        <w:rPr>
          <w:rFonts w:eastAsia="方正仿宋_GBK"/>
          <w:bCs/>
          <w:sz w:val="32"/>
          <w:szCs w:val="32"/>
        </w:rPr>
        <w:t>相</w:t>
      </w:r>
      <w:r>
        <w:rPr>
          <w:rFonts w:eastAsia="方正仿宋_GBK"/>
          <w:snapToGrid w:val="0"/>
          <w:kern w:val="0"/>
          <w:sz w:val="32"/>
          <w:szCs w:val="32"/>
        </w:rPr>
        <w:t>关</w:t>
      </w:r>
      <w:r>
        <w:rPr>
          <w:rFonts w:eastAsia="方正仿宋_GBK"/>
          <w:bCs/>
          <w:sz w:val="32"/>
          <w:szCs w:val="32"/>
        </w:rPr>
        <w:t>工作，</w:t>
      </w:r>
      <w:bookmarkStart w:id="15" w:name="OLE_LINK15"/>
      <w:bookmarkEnd w:id="14"/>
      <w:r>
        <w:rPr>
          <w:rFonts w:eastAsia="方正仿宋_GBK"/>
          <w:bCs/>
          <w:sz w:val="32"/>
          <w:szCs w:val="32"/>
        </w:rPr>
        <w:t>做好改革实施各项准备。</w:t>
      </w:r>
      <w:bookmarkStart w:id="16" w:name="OLE_LINK57"/>
      <w:r>
        <w:rPr>
          <w:rFonts w:eastAsia="方正仿宋_GBK"/>
          <w:sz w:val="32"/>
          <w:szCs w:val="32"/>
        </w:rPr>
        <w:t>完成</w:t>
      </w:r>
      <w:r>
        <w:rPr>
          <w:rFonts w:eastAsia="方正仿宋_GBK"/>
          <w:sz w:val="32"/>
          <w:szCs w:val="32"/>
        </w:rPr>
        <w:t>5815</w:t>
      </w:r>
      <w:r>
        <w:rPr>
          <w:rFonts w:eastAsia="方正仿宋_GBK"/>
          <w:bCs/>
          <w:sz w:val="32"/>
          <w:szCs w:val="32"/>
        </w:rPr>
        <w:t>名</w:t>
      </w:r>
      <w:r>
        <w:rPr>
          <w:rFonts w:eastAsia="方正仿宋_GBK"/>
          <w:snapToGrid w:val="0"/>
          <w:kern w:val="0"/>
          <w:sz w:val="32"/>
          <w:szCs w:val="32"/>
        </w:rPr>
        <w:t>机关事业单位退休</w:t>
      </w:r>
      <w:r>
        <w:rPr>
          <w:rFonts w:eastAsia="方正仿宋_GBK"/>
          <w:snapToGrid w:val="0"/>
          <w:kern w:val="0"/>
          <w:sz w:val="32"/>
          <w:szCs w:val="32"/>
        </w:rPr>
        <w:t>“</w:t>
      </w:r>
      <w:r>
        <w:rPr>
          <w:rFonts w:eastAsia="方正仿宋_GBK"/>
          <w:snapToGrid w:val="0"/>
          <w:kern w:val="0"/>
          <w:sz w:val="32"/>
          <w:szCs w:val="32"/>
        </w:rPr>
        <w:t>中人</w:t>
      </w:r>
      <w:r>
        <w:rPr>
          <w:rFonts w:eastAsia="方正仿宋_GBK"/>
          <w:snapToGrid w:val="0"/>
          <w:kern w:val="0"/>
          <w:sz w:val="32"/>
          <w:szCs w:val="32"/>
        </w:rPr>
        <w:t>”</w:t>
      </w:r>
      <w:r>
        <w:rPr>
          <w:rFonts w:eastAsia="方正仿宋_GBK"/>
          <w:snapToGrid w:val="0"/>
          <w:kern w:val="0"/>
          <w:sz w:val="32"/>
          <w:szCs w:val="32"/>
        </w:rPr>
        <w:t>养老待遇计发，</w:t>
      </w:r>
      <w:bookmarkStart w:id="17" w:name="OLE_LINK54"/>
      <w:bookmarkStart w:id="18" w:name="OLE_LINK53"/>
      <w:r>
        <w:rPr>
          <w:rFonts w:eastAsia="方正仿宋_GBK"/>
          <w:sz w:val="32"/>
          <w:szCs w:val="32"/>
        </w:rPr>
        <w:t>城乡居保集体补助试点在</w:t>
      </w:r>
      <w:r>
        <w:rPr>
          <w:rFonts w:eastAsia="方正仿宋_GBK" w:hint="eastAsia"/>
          <w:sz w:val="32"/>
          <w:szCs w:val="32"/>
        </w:rPr>
        <w:t>6</w:t>
      </w:r>
      <w:r>
        <w:rPr>
          <w:rFonts w:eastAsia="方正仿宋_GBK"/>
          <w:sz w:val="32"/>
          <w:szCs w:val="32"/>
        </w:rPr>
        <w:t>个区推进实施</w:t>
      </w:r>
      <w:bookmarkEnd w:id="17"/>
      <w:bookmarkEnd w:id="18"/>
      <w:r>
        <w:rPr>
          <w:rFonts w:eastAsia="方正仿宋_GBK"/>
          <w:sz w:val="32"/>
          <w:szCs w:val="32"/>
        </w:rPr>
        <w:t>，</w:t>
      </w:r>
      <w:r>
        <w:rPr>
          <w:rFonts w:eastAsia="方正仿宋_GBK"/>
          <w:bCs/>
          <w:snapToGrid w:val="0"/>
          <w:kern w:val="0"/>
          <w:sz w:val="32"/>
          <w:szCs w:val="32"/>
        </w:rPr>
        <w:t>企业年金制度覆盖面扩大至</w:t>
      </w:r>
      <w:r>
        <w:rPr>
          <w:rFonts w:eastAsia="方正仿宋_GBK" w:hint="eastAsia"/>
          <w:bCs/>
          <w:sz w:val="32"/>
          <w:szCs w:val="32"/>
        </w:rPr>
        <w:t>6</w:t>
      </w:r>
      <w:r>
        <w:rPr>
          <w:rFonts w:eastAsia="方正仿宋_GBK"/>
          <w:bCs/>
          <w:sz w:val="32"/>
          <w:szCs w:val="32"/>
        </w:rPr>
        <w:t>28</w:t>
      </w:r>
      <w:r>
        <w:rPr>
          <w:rFonts w:eastAsia="方正仿宋_GBK"/>
          <w:bCs/>
          <w:snapToGrid w:val="0"/>
          <w:kern w:val="0"/>
          <w:sz w:val="32"/>
          <w:szCs w:val="32"/>
        </w:rPr>
        <w:t>家</w:t>
      </w:r>
      <w:bookmarkEnd w:id="15"/>
      <w:bookmarkEnd w:id="16"/>
      <w:r>
        <w:rPr>
          <w:rFonts w:eastAsia="方正仿宋_GBK"/>
          <w:bCs/>
          <w:snapToGrid w:val="0"/>
          <w:kern w:val="0"/>
          <w:sz w:val="32"/>
          <w:szCs w:val="32"/>
        </w:rPr>
        <w:t>。健全</w:t>
      </w:r>
      <w:r>
        <w:rPr>
          <w:rFonts w:eastAsia="方正仿宋_GBK"/>
          <w:bCs/>
          <w:snapToGrid w:val="0"/>
          <w:kern w:val="0"/>
          <w:sz w:val="32"/>
          <w:szCs w:val="32"/>
        </w:rPr>
        <w:t>“</w:t>
      </w:r>
      <w:r>
        <w:rPr>
          <w:rFonts w:eastAsia="方正仿宋_GBK"/>
          <w:bCs/>
          <w:snapToGrid w:val="0"/>
          <w:kern w:val="0"/>
          <w:sz w:val="32"/>
          <w:szCs w:val="32"/>
        </w:rPr>
        <w:t>三位一体</w:t>
      </w:r>
      <w:r>
        <w:rPr>
          <w:rFonts w:eastAsia="方正仿宋_GBK"/>
          <w:bCs/>
          <w:snapToGrid w:val="0"/>
          <w:kern w:val="0"/>
          <w:sz w:val="32"/>
          <w:szCs w:val="32"/>
        </w:rPr>
        <w:t>”</w:t>
      </w:r>
      <w:r>
        <w:rPr>
          <w:rFonts w:eastAsia="方正仿宋_GBK"/>
          <w:bCs/>
          <w:snapToGrid w:val="0"/>
          <w:kern w:val="0"/>
          <w:sz w:val="32"/>
          <w:szCs w:val="32"/>
        </w:rPr>
        <w:t>工伤保险制度体系，聚焦机械制造、危化品等重点行业开展工伤预防培训，</w:t>
      </w:r>
      <w:r>
        <w:rPr>
          <w:rFonts w:eastAsia="方正仿宋_GBK"/>
          <w:sz w:val="32"/>
          <w:szCs w:val="32"/>
        </w:rPr>
        <w:t>持续推进</w:t>
      </w:r>
      <w:r>
        <w:rPr>
          <w:rFonts w:eastAsia="方正仿宋_GBK"/>
          <w:sz w:val="32"/>
        </w:rPr>
        <w:t>新业态劳动者</w:t>
      </w:r>
      <w:r>
        <w:rPr>
          <w:rFonts w:eastAsia="方正仿宋_GBK"/>
          <w:bCs/>
          <w:snapToGrid w:val="0"/>
          <w:kern w:val="0"/>
          <w:sz w:val="32"/>
          <w:szCs w:val="32"/>
        </w:rPr>
        <w:t>职业伤害保障试点。全市养老、工伤、失业保险累计参保</w:t>
      </w:r>
      <w:bookmarkStart w:id="19" w:name="OLE_LINK21"/>
      <w:bookmarkStart w:id="20" w:name="OLE_LINK22"/>
      <w:r>
        <w:rPr>
          <w:rFonts w:eastAsia="方正仿宋_GBK"/>
          <w:bCs/>
          <w:snapToGrid w:val="0"/>
          <w:kern w:val="0"/>
          <w:sz w:val="32"/>
          <w:szCs w:val="32"/>
        </w:rPr>
        <w:t>1180.63</w:t>
      </w:r>
      <w:r>
        <w:rPr>
          <w:rFonts w:eastAsia="方正仿宋_GBK"/>
          <w:bCs/>
          <w:snapToGrid w:val="0"/>
          <w:kern w:val="0"/>
          <w:sz w:val="32"/>
          <w:szCs w:val="32"/>
        </w:rPr>
        <w:t>万人次</w:t>
      </w:r>
      <w:bookmarkEnd w:id="19"/>
      <w:bookmarkEnd w:id="20"/>
      <w:r>
        <w:rPr>
          <w:rFonts w:eastAsia="方正仿宋_GBK"/>
          <w:bCs/>
          <w:snapToGrid w:val="0"/>
          <w:kern w:val="0"/>
          <w:sz w:val="32"/>
          <w:szCs w:val="32"/>
        </w:rPr>
        <w:t>，各项社保基金收入</w:t>
      </w:r>
      <w:r>
        <w:rPr>
          <w:rFonts w:eastAsia="方正仿宋_GBK"/>
          <w:bCs/>
          <w:snapToGrid w:val="0"/>
          <w:kern w:val="0"/>
          <w:sz w:val="32"/>
          <w:szCs w:val="32"/>
        </w:rPr>
        <w:t>957.16</w:t>
      </w:r>
      <w:r>
        <w:rPr>
          <w:rFonts w:eastAsia="方正仿宋_GBK"/>
          <w:bCs/>
          <w:snapToGrid w:val="0"/>
          <w:kern w:val="0"/>
          <w:sz w:val="32"/>
          <w:szCs w:val="32"/>
        </w:rPr>
        <w:t>亿元。落实社保扶贫，为</w:t>
      </w:r>
      <w:r>
        <w:rPr>
          <w:rFonts w:eastAsia="方正仿宋_GBK"/>
          <w:bCs/>
          <w:snapToGrid w:val="0"/>
          <w:kern w:val="0"/>
          <w:sz w:val="32"/>
          <w:szCs w:val="32"/>
        </w:rPr>
        <w:t>2.87</w:t>
      </w:r>
      <w:r>
        <w:rPr>
          <w:rFonts w:eastAsia="方正仿宋_GBK"/>
          <w:bCs/>
          <w:snapToGrid w:val="0"/>
          <w:kern w:val="0"/>
          <w:sz w:val="32"/>
          <w:szCs w:val="32"/>
        </w:rPr>
        <w:t>万名困难人员代缴城乡居民养老保险费</w:t>
      </w:r>
      <w:r>
        <w:rPr>
          <w:rFonts w:eastAsia="方正仿宋_GBK"/>
          <w:bCs/>
          <w:snapToGrid w:val="0"/>
          <w:kern w:val="0"/>
          <w:sz w:val="32"/>
          <w:szCs w:val="32"/>
        </w:rPr>
        <w:t>4821.6</w:t>
      </w:r>
      <w:r>
        <w:rPr>
          <w:rFonts w:eastAsia="方正仿宋_GBK"/>
          <w:bCs/>
          <w:snapToGrid w:val="0"/>
          <w:kern w:val="0"/>
          <w:sz w:val="32"/>
          <w:szCs w:val="32"/>
        </w:rPr>
        <w:t>万元。持续推进社保基金管理巩固提升行动，</w:t>
      </w:r>
      <w:r>
        <w:rPr>
          <w:rFonts w:eastAsia="方正仿宋_GBK"/>
          <w:sz w:val="32"/>
          <w:szCs w:val="32"/>
        </w:rPr>
        <w:t>内外结合多方联动构建完善</w:t>
      </w:r>
      <w:r>
        <w:rPr>
          <w:rFonts w:eastAsia="方正仿宋_GBK"/>
          <w:bCs/>
          <w:snapToGrid w:val="0"/>
          <w:kern w:val="0"/>
          <w:sz w:val="32"/>
          <w:szCs w:val="32"/>
        </w:rPr>
        <w:t>“1+1+N”</w:t>
      </w:r>
      <w:r>
        <w:rPr>
          <w:rFonts w:eastAsia="方正仿宋_GBK"/>
          <w:bCs/>
          <w:snapToGrid w:val="0"/>
          <w:kern w:val="0"/>
          <w:sz w:val="32"/>
          <w:szCs w:val="32"/>
        </w:rPr>
        <w:t>社保基金防控体系。</w:t>
      </w:r>
      <w:bookmarkStart w:id="21" w:name="OLE_LINK12"/>
      <w:bookmarkStart w:id="22" w:name="OLE_LINK11"/>
      <w:r>
        <w:rPr>
          <w:rFonts w:eastAsia="方正仿宋_GBK"/>
          <w:bCs/>
          <w:snapToGrid w:val="0"/>
          <w:kern w:val="0"/>
          <w:sz w:val="32"/>
          <w:szCs w:val="32"/>
        </w:rPr>
        <w:t>持续开展</w:t>
      </w:r>
      <w:r>
        <w:rPr>
          <w:rFonts w:eastAsia="方正仿宋_GBK"/>
          <w:bCs/>
          <w:snapToGrid w:val="0"/>
          <w:kern w:val="0"/>
          <w:sz w:val="32"/>
          <w:szCs w:val="32"/>
        </w:rPr>
        <w:t>“</w:t>
      </w:r>
      <w:r>
        <w:rPr>
          <w:rFonts w:eastAsia="方正仿宋_GBK"/>
          <w:bCs/>
          <w:snapToGrid w:val="0"/>
          <w:kern w:val="0"/>
          <w:sz w:val="32"/>
          <w:szCs w:val="32"/>
        </w:rPr>
        <w:t>社保三送</w:t>
      </w:r>
      <w:r>
        <w:rPr>
          <w:rFonts w:eastAsia="方正仿宋_GBK"/>
          <w:bCs/>
          <w:snapToGrid w:val="0"/>
          <w:kern w:val="0"/>
          <w:sz w:val="32"/>
          <w:szCs w:val="32"/>
        </w:rPr>
        <w:t>”</w:t>
      </w:r>
      <w:r>
        <w:rPr>
          <w:rFonts w:eastAsia="方正仿宋_GBK"/>
          <w:bCs/>
          <w:snapToGrid w:val="0"/>
          <w:kern w:val="0"/>
          <w:sz w:val="32"/>
          <w:szCs w:val="32"/>
        </w:rPr>
        <w:t>便民惠企服务，为</w:t>
      </w:r>
      <w:r>
        <w:rPr>
          <w:rFonts w:eastAsia="方正仿宋_GBK"/>
          <w:color w:val="000000"/>
          <w:sz w:val="32"/>
          <w:szCs w:val="32"/>
        </w:rPr>
        <w:t>41.17</w:t>
      </w:r>
      <w:r>
        <w:rPr>
          <w:rFonts w:eastAsia="方正仿宋_GBK"/>
          <w:color w:val="000000"/>
          <w:sz w:val="32"/>
          <w:szCs w:val="32"/>
        </w:rPr>
        <w:t>万</w:t>
      </w:r>
      <w:r>
        <w:rPr>
          <w:rFonts w:eastAsia="方正仿宋_GBK"/>
          <w:bCs/>
          <w:snapToGrid w:val="0"/>
          <w:kern w:val="0"/>
          <w:sz w:val="32"/>
          <w:szCs w:val="32"/>
        </w:rPr>
        <w:t>名企退人员开展免费健康体检。</w:t>
      </w:r>
      <w:bookmarkEnd w:id="21"/>
      <w:bookmarkEnd w:id="22"/>
      <w:r>
        <w:rPr>
          <w:rFonts w:eastAsia="方正楷体_GBK"/>
          <w:sz w:val="32"/>
        </w:rPr>
        <w:t>四</w:t>
      </w:r>
      <w:r>
        <w:rPr>
          <w:rFonts w:eastAsia="方正楷体_GBK" w:hint="eastAsia"/>
          <w:sz w:val="32"/>
        </w:rPr>
        <w:t>是</w:t>
      </w:r>
      <w:r>
        <w:rPr>
          <w:rFonts w:eastAsia="方正楷体_GBK"/>
          <w:sz w:val="32"/>
        </w:rPr>
        <w:t>健全机制防治并举，劳动关系保持稳定。</w:t>
      </w:r>
      <w:r>
        <w:rPr>
          <w:rFonts w:eastAsia="方正仿宋_GBK"/>
          <w:snapToGrid w:val="0"/>
          <w:kern w:val="0"/>
          <w:sz w:val="32"/>
          <w:szCs w:val="32"/>
        </w:rPr>
        <w:t>健全协商协调机制，</w:t>
      </w:r>
      <w:r>
        <w:rPr>
          <w:rFonts w:eastAsia="方正仿宋_GBK"/>
          <w:sz w:val="32"/>
          <w:szCs w:val="32"/>
        </w:rPr>
        <w:t>新认定市劳动关系和谐企业</w:t>
      </w:r>
      <w:r>
        <w:rPr>
          <w:rFonts w:eastAsia="方正仿宋_GBK"/>
          <w:sz w:val="32"/>
          <w:szCs w:val="32"/>
        </w:rPr>
        <w:t>146</w:t>
      </w:r>
      <w:r>
        <w:rPr>
          <w:rFonts w:eastAsia="方正仿宋_GBK"/>
          <w:sz w:val="32"/>
          <w:szCs w:val="32"/>
        </w:rPr>
        <w:t>家，创新</w:t>
      </w:r>
      <w:r>
        <w:rPr>
          <w:rFonts w:eastAsia="方正仿宋_GBK"/>
          <w:sz w:val="32"/>
        </w:rPr>
        <w:t>推动</w:t>
      </w:r>
      <w:r>
        <w:rPr>
          <w:rFonts w:eastAsia="方正仿宋_GBK"/>
          <w:sz w:val="32"/>
        </w:rPr>
        <w:t>T3</w:t>
      </w:r>
      <w:r>
        <w:rPr>
          <w:rFonts w:eastAsia="方正仿宋_GBK"/>
          <w:sz w:val="32"/>
        </w:rPr>
        <w:t>出行、满帮等网约配送行业企业集体协商，调整最低工资标准至</w:t>
      </w:r>
      <w:r>
        <w:rPr>
          <w:rFonts w:eastAsia="方正仿宋_GBK"/>
          <w:color w:val="000000"/>
          <w:sz w:val="32"/>
          <w:szCs w:val="32"/>
        </w:rPr>
        <w:t>2490</w:t>
      </w:r>
      <w:r>
        <w:rPr>
          <w:rFonts w:eastAsia="方正仿宋_GBK"/>
          <w:color w:val="000000"/>
          <w:sz w:val="32"/>
          <w:szCs w:val="32"/>
        </w:rPr>
        <w:t>元</w:t>
      </w:r>
      <w:r>
        <w:rPr>
          <w:rFonts w:eastAsia="方正仿宋_GBK"/>
          <w:color w:val="000000"/>
          <w:sz w:val="32"/>
          <w:szCs w:val="32"/>
        </w:rPr>
        <w:t>/</w:t>
      </w:r>
      <w:r>
        <w:rPr>
          <w:rFonts w:eastAsia="方正仿宋_GBK"/>
          <w:color w:val="000000"/>
          <w:sz w:val="32"/>
          <w:szCs w:val="32"/>
        </w:rPr>
        <w:t>月。</w:t>
      </w:r>
      <w:r>
        <w:rPr>
          <w:rFonts w:eastAsia="方正仿宋_GBK"/>
          <w:bCs/>
          <w:snapToGrid w:val="0"/>
          <w:kern w:val="0"/>
          <w:sz w:val="32"/>
          <w:szCs w:val="32"/>
        </w:rPr>
        <w:t>健全</w:t>
      </w:r>
      <w:r>
        <w:rPr>
          <w:rFonts w:eastAsia="方正仿宋_GBK"/>
          <w:bCs/>
          <w:snapToGrid w:val="0"/>
          <w:kern w:val="0"/>
          <w:sz w:val="32"/>
          <w:szCs w:val="32"/>
        </w:rPr>
        <w:t>“</w:t>
      </w:r>
      <w:r>
        <w:rPr>
          <w:rFonts w:eastAsia="方正仿宋_GBK"/>
          <w:bCs/>
          <w:snapToGrid w:val="0"/>
          <w:kern w:val="0"/>
          <w:sz w:val="32"/>
          <w:szCs w:val="32"/>
        </w:rPr>
        <w:t>五位一体</w:t>
      </w:r>
      <w:r>
        <w:rPr>
          <w:rFonts w:eastAsia="方正仿宋_GBK"/>
          <w:bCs/>
          <w:snapToGrid w:val="0"/>
          <w:kern w:val="0"/>
          <w:sz w:val="32"/>
          <w:szCs w:val="32"/>
        </w:rPr>
        <w:t>”</w:t>
      </w:r>
      <w:r>
        <w:rPr>
          <w:rFonts w:eastAsia="方正仿宋_GBK"/>
          <w:bCs/>
          <w:snapToGrid w:val="0"/>
          <w:kern w:val="0"/>
          <w:sz w:val="32"/>
          <w:szCs w:val="32"/>
        </w:rPr>
        <w:t>矛盾纠纷多元化解机制，高效运行市、区</w:t>
      </w:r>
      <w:r>
        <w:rPr>
          <w:rFonts w:eastAsia="方正仿宋_GBK"/>
          <w:bCs/>
          <w:snapToGrid w:val="0"/>
          <w:kern w:val="0"/>
          <w:sz w:val="32"/>
          <w:szCs w:val="32"/>
        </w:rPr>
        <w:t>14</w:t>
      </w:r>
      <w:r>
        <w:rPr>
          <w:rFonts w:eastAsia="方正仿宋_GBK"/>
          <w:bCs/>
          <w:snapToGrid w:val="0"/>
          <w:kern w:val="0"/>
          <w:sz w:val="32"/>
          <w:szCs w:val="32"/>
        </w:rPr>
        <w:t>家劳动人事争议联合调处中心，设立新就业形态劳动纠纷一站式调解中心，</w:t>
      </w:r>
      <w:r>
        <w:rPr>
          <w:rFonts w:eastAsia="方正仿宋_GBK"/>
          <w:bCs/>
          <w:snapToGrid w:val="0"/>
          <w:kern w:val="0"/>
          <w:sz w:val="32"/>
          <w:szCs w:val="32"/>
        </w:rPr>
        <w:t>“1+13+N”</w:t>
      </w:r>
      <w:r>
        <w:rPr>
          <w:rFonts w:eastAsia="方正仿宋_GBK"/>
          <w:bCs/>
          <w:snapToGrid w:val="0"/>
          <w:kern w:val="0"/>
          <w:sz w:val="32"/>
          <w:szCs w:val="32"/>
        </w:rPr>
        <w:t>劳动人事争议多元调处模式获部、省推广。紧密对接法院强化裁审衔接，力争案件在仲裁阶段</w:t>
      </w:r>
      <w:r>
        <w:rPr>
          <w:rFonts w:eastAsia="方正仿宋_GBK"/>
          <w:color w:val="000000"/>
          <w:sz w:val="32"/>
          <w:szCs w:val="32"/>
        </w:rPr>
        <w:t>实现化解，</w:t>
      </w:r>
      <w:r>
        <w:rPr>
          <w:rFonts w:eastAsia="方正仿宋_GBK"/>
          <w:sz w:val="32"/>
          <w:szCs w:val="32"/>
        </w:rPr>
        <w:t>全市法院新收劳动人事争议案件同比下降</w:t>
      </w:r>
      <w:r>
        <w:rPr>
          <w:rFonts w:eastAsia="方正仿宋_GBK" w:hint="eastAsia"/>
          <w:sz w:val="32"/>
          <w:szCs w:val="32"/>
        </w:rPr>
        <w:t>1</w:t>
      </w:r>
      <w:r>
        <w:rPr>
          <w:rFonts w:eastAsia="方正仿宋_GBK"/>
          <w:sz w:val="32"/>
          <w:szCs w:val="32"/>
        </w:rPr>
        <w:t>0.7%</w:t>
      </w:r>
      <w:r>
        <w:rPr>
          <w:rFonts w:eastAsia="方正仿宋_GBK"/>
          <w:sz w:val="32"/>
          <w:szCs w:val="32"/>
        </w:rPr>
        <w:t>，为近年来首次下降。</w:t>
      </w:r>
      <w:r>
        <w:rPr>
          <w:rFonts w:eastAsia="方正仿宋_GBK"/>
          <w:snapToGrid w:val="0"/>
          <w:kern w:val="0"/>
          <w:sz w:val="32"/>
          <w:szCs w:val="32"/>
        </w:rPr>
        <w:t>加强治理欠薪协同联动，持续开展</w:t>
      </w:r>
      <w:r>
        <w:rPr>
          <w:rFonts w:eastAsia="方正仿宋_GBK"/>
          <w:snapToGrid w:val="0"/>
          <w:kern w:val="0"/>
          <w:sz w:val="32"/>
          <w:szCs w:val="32"/>
        </w:rPr>
        <w:lastRenderedPageBreak/>
        <w:t>根治欠薪</w:t>
      </w:r>
      <w:r>
        <w:rPr>
          <w:rFonts w:eastAsia="方正仿宋_GBK"/>
          <w:snapToGrid w:val="0"/>
          <w:kern w:val="0"/>
          <w:sz w:val="32"/>
          <w:szCs w:val="32"/>
        </w:rPr>
        <w:t>“</w:t>
      </w:r>
      <w:r>
        <w:rPr>
          <w:rFonts w:eastAsia="方正仿宋_GBK"/>
          <w:snapToGrid w:val="0"/>
          <w:kern w:val="0"/>
          <w:sz w:val="32"/>
          <w:szCs w:val="32"/>
        </w:rPr>
        <w:t>四季</w:t>
      </w:r>
      <w:r>
        <w:rPr>
          <w:rFonts w:eastAsia="方正仿宋_GBK"/>
          <w:snapToGrid w:val="0"/>
          <w:kern w:val="0"/>
          <w:sz w:val="32"/>
          <w:szCs w:val="32"/>
        </w:rPr>
        <w:t>”</w:t>
      </w:r>
      <w:r>
        <w:rPr>
          <w:rFonts w:eastAsia="方正仿宋_GBK"/>
          <w:snapToGrid w:val="0"/>
          <w:kern w:val="0"/>
          <w:sz w:val="32"/>
          <w:szCs w:val="32"/>
        </w:rPr>
        <w:t>专项行动，</w:t>
      </w:r>
      <w:r>
        <w:rPr>
          <w:rFonts w:eastAsia="方正仿宋_GBK"/>
          <w:color w:val="000000"/>
          <w:sz w:val="32"/>
          <w:szCs w:val="32"/>
        </w:rPr>
        <w:t>聚焦</w:t>
      </w:r>
      <w:r>
        <w:rPr>
          <w:rFonts w:eastAsia="方正仿宋_GBK"/>
          <w:sz w:val="32"/>
          <w:szCs w:val="32"/>
        </w:rPr>
        <w:t>重点领域</w:t>
      </w:r>
      <w:r>
        <w:rPr>
          <w:rFonts w:eastAsia="方正仿宋_GBK"/>
          <w:color w:val="000000"/>
          <w:sz w:val="32"/>
          <w:szCs w:val="32"/>
        </w:rPr>
        <w:t>常态化开展欠薪隐患排查化解和跨部门联合执法，</w:t>
      </w:r>
      <w:r>
        <w:rPr>
          <w:rFonts w:eastAsia="方正仿宋_GBK"/>
          <w:snapToGrid w:val="0"/>
          <w:kern w:val="0"/>
          <w:sz w:val="32"/>
          <w:szCs w:val="32"/>
        </w:rPr>
        <w:t>全面推进保障工资支付各项制度长效</w:t>
      </w:r>
      <w:r>
        <w:rPr>
          <w:rFonts w:eastAsia="方正仿宋_GBK"/>
          <w:sz w:val="32"/>
          <w:szCs w:val="32"/>
        </w:rPr>
        <w:t>落实，</w:t>
      </w:r>
      <w:bookmarkStart w:id="23" w:name="OLE_LINK7"/>
      <w:bookmarkStart w:id="24" w:name="OLE_LINK24"/>
      <w:bookmarkStart w:id="25" w:name="OLE_LINK23"/>
      <w:r>
        <w:rPr>
          <w:rFonts w:eastAsia="方正仿宋_GBK"/>
          <w:color w:val="000000"/>
          <w:sz w:val="32"/>
          <w:szCs w:val="32"/>
        </w:rPr>
        <w:t>为</w:t>
      </w:r>
      <w:r>
        <w:rPr>
          <w:rFonts w:eastAsia="方正仿宋_GBK" w:hint="eastAsia"/>
          <w:color w:val="000000"/>
          <w:sz w:val="32"/>
          <w:szCs w:val="32"/>
        </w:rPr>
        <w:t>3</w:t>
      </w:r>
      <w:r>
        <w:rPr>
          <w:rFonts w:eastAsia="方正仿宋_GBK"/>
          <w:color w:val="000000"/>
          <w:sz w:val="32"/>
          <w:szCs w:val="32"/>
        </w:rPr>
        <w:t>.04</w:t>
      </w:r>
      <w:r>
        <w:rPr>
          <w:rFonts w:eastAsia="方正仿宋_GBK"/>
          <w:color w:val="000000"/>
          <w:sz w:val="32"/>
          <w:szCs w:val="32"/>
        </w:rPr>
        <w:t>万名劳动者追发工资等待遇</w:t>
      </w:r>
      <w:r>
        <w:rPr>
          <w:rFonts w:eastAsia="方正仿宋_GBK" w:hint="eastAsia"/>
          <w:color w:val="000000"/>
          <w:sz w:val="32"/>
          <w:szCs w:val="32"/>
        </w:rPr>
        <w:t>2</w:t>
      </w:r>
      <w:r>
        <w:rPr>
          <w:rFonts w:eastAsia="方正仿宋_GBK"/>
          <w:color w:val="000000"/>
          <w:sz w:val="32"/>
          <w:szCs w:val="32"/>
        </w:rPr>
        <w:t>.33</w:t>
      </w:r>
      <w:r>
        <w:rPr>
          <w:rFonts w:eastAsia="方正仿宋_GBK"/>
          <w:color w:val="000000"/>
          <w:sz w:val="32"/>
          <w:szCs w:val="32"/>
        </w:rPr>
        <w:t>亿元，</w:t>
      </w:r>
      <w:bookmarkEnd w:id="23"/>
      <w:bookmarkEnd w:id="24"/>
      <w:bookmarkEnd w:id="25"/>
      <w:r>
        <w:rPr>
          <w:rFonts w:eastAsia="方正仿宋_GBK"/>
          <w:snapToGrid w:val="0"/>
          <w:color w:val="000000"/>
          <w:kern w:val="0"/>
          <w:sz w:val="32"/>
          <w:szCs w:val="32"/>
        </w:rPr>
        <w:t>连</w:t>
      </w:r>
      <w:r>
        <w:rPr>
          <w:rFonts w:eastAsia="方正仿宋_GBK"/>
          <w:sz w:val="32"/>
          <w:szCs w:val="32"/>
        </w:rPr>
        <w:t>续</w:t>
      </w:r>
      <w:r>
        <w:rPr>
          <w:rFonts w:eastAsia="方正仿宋_GBK"/>
          <w:sz w:val="32"/>
          <w:szCs w:val="32"/>
        </w:rPr>
        <w:t>7</w:t>
      </w:r>
      <w:r>
        <w:rPr>
          <w:rFonts w:eastAsia="方正仿宋_GBK"/>
          <w:sz w:val="32"/>
          <w:szCs w:val="32"/>
        </w:rPr>
        <w:t>年获省对市</w:t>
      </w:r>
      <w:r>
        <w:rPr>
          <w:rFonts w:eastAsia="方正仿宋_GBK"/>
          <w:color w:val="000000"/>
          <w:sz w:val="32"/>
          <w:szCs w:val="32"/>
        </w:rPr>
        <w:t>保障农民工工资支付工作</w:t>
      </w:r>
      <w:r>
        <w:rPr>
          <w:rFonts w:eastAsia="方正仿宋_GBK"/>
          <w:sz w:val="32"/>
          <w:szCs w:val="32"/>
        </w:rPr>
        <w:t>考核</w:t>
      </w:r>
      <w:r>
        <w:rPr>
          <w:rFonts w:eastAsia="方正仿宋_GBK"/>
          <w:sz w:val="32"/>
          <w:szCs w:val="32"/>
        </w:rPr>
        <w:t>A</w:t>
      </w:r>
      <w:r>
        <w:rPr>
          <w:rFonts w:eastAsia="方正仿宋_GBK"/>
          <w:sz w:val="32"/>
          <w:szCs w:val="32"/>
        </w:rPr>
        <w:t>级等次。</w:t>
      </w:r>
      <w:r>
        <w:rPr>
          <w:rFonts w:eastAsia="方正楷体_GBK"/>
          <w:sz w:val="32"/>
        </w:rPr>
        <w:t>五</w:t>
      </w:r>
      <w:r>
        <w:rPr>
          <w:rFonts w:eastAsia="方正楷体_GBK" w:hint="eastAsia"/>
          <w:sz w:val="32"/>
        </w:rPr>
        <w:t>是</w:t>
      </w:r>
      <w:r>
        <w:rPr>
          <w:rFonts w:eastAsia="方正楷体_GBK"/>
          <w:sz w:val="32"/>
        </w:rPr>
        <w:t>严实作风提升效能，人社服务更加优良。</w:t>
      </w:r>
      <w:r>
        <w:rPr>
          <w:rFonts w:eastAsia="方正仿宋_GBK"/>
          <w:snapToGrid w:val="0"/>
          <w:kern w:val="0"/>
          <w:sz w:val="32"/>
          <w:szCs w:val="32"/>
        </w:rPr>
        <w:t>深度融入长三角一体化及南京都市圈发展，就业创业、社保服务、人才交流、劳动维权等领域一体化合作深入推进。</w:t>
      </w:r>
      <w:r>
        <w:rPr>
          <w:rFonts w:eastAsia="方正仿宋_GBK"/>
          <w:sz w:val="32"/>
          <w:szCs w:val="32"/>
        </w:rPr>
        <w:t>全国首家跨省域政府所属人才交流服务平台</w:t>
      </w:r>
      <w:r>
        <w:rPr>
          <w:rFonts w:eastAsia="方正仿宋_GBK"/>
          <w:sz w:val="32"/>
          <w:szCs w:val="32"/>
        </w:rPr>
        <w:t>“</w:t>
      </w:r>
      <w:r>
        <w:rPr>
          <w:rFonts w:eastAsia="方正仿宋_GBK"/>
          <w:sz w:val="32"/>
          <w:szCs w:val="32"/>
        </w:rPr>
        <w:t>长三角招聘专区</w:t>
      </w:r>
      <w:r>
        <w:rPr>
          <w:rFonts w:eastAsia="方正仿宋_GBK"/>
          <w:sz w:val="32"/>
          <w:szCs w:val="32"/>
        </w:rPr>
        <w:t>”</w:t>
      </w:r>
      <w:r>
        <w:rPr>
          <w:rFonts w:eastAsia="方正仿宋_GBK"/>
          <w:sz w:val="32"/>
          <w:szCs w:val="32"/>
        </w:rPr>
        <w:t>上线运行，</w:t>
      </w:r>
      <w:r>
        <w:rPr>
          <w:rFonts w:eastAsia="方正仿宋_GBK"/>
          <w:sz w:val="32"/>
        </w:rPr>
        <w:t>实现跨</w:t>
      </w:r>
      <w:r>
        <w:rPr>
          <w:rFonts w:eastAsia="方正仿宋_GBK"/>
          <w:sz w:val="32"/>
          <w:szCs w:val="32"/>
        </w:rPr>
        <w:t>三省</w:t>
      </w:r>
      <w:r>
        <w:rPr>
          <w:rFonts w:eastAsia="方正仿宋_GBK"/>
          <w:sz w:val="32"/>
          <w:szCs w:val="32"/>
        </w:rPr>
        <w:t>40</w:t>
      </w:r>
      <w:r>
        <w:rPr>
          <w:rFonts w:eastAsia="方正仿宋_GBK"/>
          <w:sz w:val="32"/>
          <w:szCs w:val="32"/>
        </w:rPr>
        <w:t>个地市</w:t>
      </w:r>
      <w:r>
        <w:rPr>
          <w:rFonts w:eastAsia="方正仿宋_GBK"/>
          <w:sz w:val="32"/>
        </w:rPr>
        <w:t>之间的就业信息</w:t>
      </w:r>
      <w:r>
        <w:rPr>
          <w:rFonts w:eastAsia="方正仿宋_GBK"/>
          <w:sz w:val="32"/>
        </w:rPr>
        <w:t>“</w:t>
      </w:r>
      <w:r>
        <w:rPr>
          <w:rFonts w:eastAsia="方正仿宋_GBK"/>
          <w:sz w:val="32"/>
        </w:rPr>
        <w:t>一站式</w:t>
      </w:r>
      <w:r>
        <w:rPr>
          <w:rFonts w:eastAsia="方正仿宋_GBK"/>
          <w:sz w:val="32"/>
        </w:rPr>
        <w:t>”</w:t>
      </w:r>
      <w:r>
        <w:rPr>
          <w:rFonts w:eastAsia="方正仿宋_GBK"/>
          <w:sz w:val="32"/>
        </w:rPr>
        <w:t>展示、招聘岗位</w:t>
      </w:r>
      <w:r>
        <w:rPr>
          <w:rFonts w:eastAsia="方正仿宋_GBK"/>
          <w:sz w:val="32"/>
        </w:rPr>
        <w:t>“</w:t>
      </w:r>
      <w:r>
        <w:rPr>
          <w:rFonts w:eastAsia="方正仿宋_GBK"/>
          <w:sz w:val="32"/>
        </w:rPr>
        <w:t>一体式</w:t>
      </w:r>
      <w:r>
        <w:rPr>
          <w:rFonts w:eastAsia="方正仿宋_GBK"/>
          <w:sz w:val="32"/>
        </w:rPr>
        <w:t>”</w:t>
      </w:r>
      <w:r>
        <w:rPr>
          <w:rFonts w:eastAsia="方正仿宋_GBK"/>
          <w:sz w:val="32"/>
        </w:rPr>
        <w:t>检索、求职简历</w:t>
      </w:r>
      <w:r>
        <w:rPr>
          <w:rFonts w:eastAsia="方正仿宋_GBK"/>
          <w:sz w:val="32"/>
        </w:rPr>
        <w:t>“</w:t>
      </w:r>
      <w:r>
        <w:rPr>
          <w:rFonts w:eastAsia="方正仿宋_GBK"/>
          <w:sz w:val="32"/>
        </w:rPr>
        <w:t>一键式</w:t>
      </w:r>
      <w:r>
        <w:rPr>
          <w:rFonts w:eastAsia="方正仿宋_GBK"/>
          <w:sz w:val="32"/>
        </w:rPr>
        <w:t>”</w:t>
      </w:r>
      <w:r>
        <w:rPr>
          <w:rFonts w:eastAsia="方正仿宋_GBK"/>
          <w:sz w:val="32"/>
        </w:rPr>
        <w:t>投递</w:t>
      </w:r>
      <w:r>
        <w:rPr>
          <w:rFonts w:eastAsia="方正仿宋_GBK"/>
          <w:sz w:val="32"/>
          <w:szCs w:val="32"/>
        </w:rPr>
        <w:t>。</w:t>
      </w:r>
      <w:r>
        <w:rPr>
          <w:rFonts w:eastAsia="方正仿宋_GBK"/>
          <w:snapToGrid w:val="0"/>
          <w:kern w:val="0"/>
          <w:sz w:val="32"/>
          <w:szCs w:val="32"/>
        </w:rPr>
        <w:t>强化智慧赋能，</w:t>
      </w:r>
      <w:bookmarkStart w:id="26" w:name="OLE_LINK47"/>
      <w:r>
        <w:rPr>
          <w:rFonts w:eastAsia="方正仿宋_GBK"/>
          <w:sz w:val="32"/>
          <w:szCs w:val="32"/>
        </w:rPr>
        <w:t>推进人社服务</w:t>
      </w:r>
      <w:r>
        <w:rPr>
          <w:rFonts w:eastAsia="方正仿宋_GBK"/>
          <w:sz w:val="32"/>
          <w:szCs w:val="32"/>
        </w:rPr>
        <w:t>“</w:t>
      </w:r>
      <w:r>
        <w:rPr>
          <w:rFonts w:eastAsia="方正仿宋_GBK"/>
          <w:sz w:val="32"/>
          <w:szCs w:val="32"/>
        </w:rPr>
        <w:t>不见面</w:t>
      </w:r>
      <w:r>
        <w:rPr>
          <w:rFonts w:eastAsia="方正仿宋_GBK"/>
          <w:sz w:val="32"/>
          <w:szCs w:val="32"/>
        </w:rPr>
        <w:t>”“</w:t>
      </w:r>
      <w:r>
        <w:rPr>
          <w:rFonts w:eastAsia="方正仿宋_GBK"/>
          <w:sz w:val="32"/>
          <w:szCs w:val="32"/>
        </w:rPr>
        <w:t>一次办</w:t>
      </w:r>
      <w:r>
        <w:rPr>
          <w:rFonts w:eastAsia="方正仿宋_GBK"/>
          <w:sz w:val="32"/>
          <w:szCs w:val="32"/>
        </w:rPr>
        <w:t>”</w:t>
      </w:r>
      <w:r>
        <w:rPr>
          <w:rFonts w:eastAsia="方正仿宋_GBK"/>
          <w:sz w:val="32"/>
          <w:szCs w:val="32"/>
        </w:rPr>
        <w:t>，用人单位社保登记等</w:t>
      </w:r>
      <w:r>
        <w:rPr>
          <w:rFonts w:eastAsia="方正仿宋_GBK" w:hint="eastAsia"/>
          <w:sz w:val="32"/>
          <w:szCs w:val="32"/>
        </w:rPr>
        <w:t>2</w:t>
      </w:r>
      <w:r>
        <w:rPr>
          <w:rFonts w:eastAsia="方正仿宋_GBK"/>
          <w:sz w:val="32"/>
          <w:szCs w:val="32"/>
        </w:rPr>
        <w:t>0</w:t>
      </w:r>
      <w:r>
        <w:rPr>
          <w:rFonts w:eastAsia="方正仿宋_GBK"/>
          <w:sz w:val="32"/>
          <w:szCs w:val="32"/>
        </w:rPr>
        <w:t>个事项上线</w:t>
      </w:r>
      <w:r>
        <w:rPr>
          <w:rFonts w:eastAsia="方正仿宋_GBK"/>
          <w:sz w:val="32"/>
          <w:szCs w:val="32"/>
        </w:rPr>
        <w:t>“</w:t>
      </w:r>
      <w:r>
        <w:rPr>
          <w:rFonts w:eastAsia="方正仿宋_GBK"/>
          <w:sz w:val="32"/>
          <w:szCs w:val="32"/>
        </w:rPr>
        <w:t>宁企通</w:t>
      </w:r>
      <w:r>
        <w:rPr>
          <w:rFonts w:eastAsia="方正仿宋_GBK"/>
          <w:sz w:val="32"/>
          <w:szCs w:val="32"/>
        </w:rPr>
        <w:t>”</w:t>
      </w:r>
      <w:r>
        <w:rPr>
          <w:rFonts w:eastAsia="方正仿宋_GBK"/>
          <w:sz w:val="32"/>
          <w:szCs w:val="32"/>
        </w:rPr>
        <w:t>综合服务平台</w:t>
      </w:r>
      <w:r>
        <w:rPr>
          <w:rFonts w:eastAsia="方正仿宋_GBK"/>
          <w:snapToGrid w:val="0"/>
          <w:kern w:val="0"/>
          <w:sz w:val="32"/>
          <w:szCs w:val="32"/>
        </w:rPr>
        <w:t>。</w:t>
      </w:r>
      <w:bookmarkStart w:id="27" w:name="OLE_LINK10"/>
      <w:bookmarkStart w:id="28" w:name="OLE_LINK9"/>
      <w:bookmarkEnd w:id="26"/>
      <w:r>
        <w:rPr>
          <w:rFonts w:eastAsia="方正仿宋_GBK"/>
          <w:sz w:val="32"/>
        </w:rPr>
        <w:t>社保卡</w:t>
      </w:r>
      <w:r>
        <w:rPr>
          <w:rFonts w:eastAsia="方正仿宋_GBK"/>
          <w:snapToGrid w:val="0"/>
          <w:kern w:val="0"/>
          <w:sz w:val="32"/>
          <w:szCs w:val="32"/>
        </w:rPr>
        <w:t>实现交通、文旅、养老助餐助浴、</w:t>
      </w:r>
      <w:r>
        <w:rPr>
          <w:rFonts w:eastAsia="方正仿宋_GBK"/>
          <w:sz w:val="32"/>
          <w:szCs w:val="32"/>
        </w:rPr>
        <w:t>校园服务等多场景居民服务</w:t>
      </w:r>
      <w:r>
        <w:rPr>
          <w:rFonts w:eastAsia="方正仿宋_GBK"/>
          <w:sz w:val="32"/>
          <w:szCs w:val="32"/>
        </w:rPr>
        <w:t>“</w:t>
      </w:r>
      <w:r>
        <w:rPr>
          <w:rFonts w:eastAsia="方正仿宋_GBK"/>
          <w:sz w:val="32"/>
          <w:szCs w:val="32"/>
        </w:rPr>
        <w:t>一卡通用</w:t>
      </w:r>
      <w:r>
        <w:rPr>
          <w:rFonts w:eastAsia="方正仿宋_GBK"/>
          <w:sz w:val="32"/>
          <w:szCs w:val="32"/>
        </w:rPr>
        <w:t>”</w:t>
      </w:r>
      <w:r>
        <w:rPr>
          <w:rFonts w:eastAsia="方正仿宋_GBK"/>
          <w:color w:val="000000"/>
          <w:sz w:val="32"/>
          <w:szCs w:val="32"/>
        </w:rPr>
        <w:t>。</w:t>
      </w:r>
      <w:r>
        <w:rPr>
          <w:rFonts w:eastAsia="方正仿宋_GBK"/>
          <w:snapToGrid w:val="0"/>
          <w:kern w:val="0"/>
          <w:sz w:val="32"/>
          <w:szCs w:val="32"/>
        </w:rPr>
        <w:t>全国公共就业服务能力示范项目圆满收官，覆盖</w:t>
      </w:r>
      <w:r>
        <w:rPr>
          <w:rFonts w:eastAsia="方正仿宋_GBK" w:hint="eastAsia"/>
          <w:snapToGrid w:val="0"/>
          <w:kern w:val="0"/>
          <w:sz w:val="32"/>
          <w:szCs w:val="32"/>
        </w:rPr>
        <w:t>就业</w:t>
      </w:r>
      <w:r>
        <w:rPr>
          <w:rFonts w:eastAsia="方正仿宋_GBK"/>
          <w:snapToGrid w:val="0"/>
          <w:kern w:val="0"/>
          <w:sz w:val="32"/>
          <w:szCs w:val="32"/>
        </w:rPr>
        <w:t>创业全过程的公共服务体系进一步健全优化。深化打造</w:t>
      </w:r>
      <w:r>
        <w:rPr>
          <w:rFonts w:eastAsia="方正仿宋_GBK"/>
          <w:sz w:val="32"/>
          <w:szCs w:val="32"/>
        </w:rPr>
        <w:t>“15</w:t>
      </w:r>
      <w:r>
        <w:rPr>
          <w:rFonts w:eastAsia="方正仿宋_GBK"/>
          <w:sz w:val="32"/>
          <w:szCs w:val="32"/>
        </w:rPr>
        <w:t>分钟人社服务圈</w:t>
      </w:r>
      <w:r>
        <w:rPr>
          <w:rFonts w:eastAsia="方正仿宋_GBK"/>
          <w:sz w:val="32"/>
          <w:szCs w:val="32"/>
        </w:rPr>
        <w:t>”</w:t>
      </w:r>
      <w:r>
        <w:rPr>
          <w:rFonts w:eastAsia="方正仿宋_GBK"/>
          <w:sz w:val="32"/>
          <w:szCs w:val="32"/>
        </w:rPr>
        <w:t>，社银合作覆盖</w:t>
      </w:r>
      <w:r>
        <w:rPr>
          <w:rFonts w:eastAsia="方正仿宋_GBK" w:hint="eastAsia"/>
          <w:sz w:val="32"/>
          <w:szCs w:val="32"/>
        </w:rPr>
        <w:t>1</w:t>
      </w:r>
      <w:r>
        <w:rPr>
          <w:rFonts w:eastAsia="方正仿宋_GBK"/>
          <w:sz w:val="32"/>
          <w:szCs w:val="32"/>
        </w:rPr>
        <w:t>1</w:t>
      </w:r>
      <w:r>
        <w:rPr>
          <w:rFonts w:eastAsia="方正仿宋_GBK"/>
          <w:sz w:val="32"/>
          <w:szCs w:val="32"/>
        </w:rPr>
        <w:t>家银行、</w:t>
      </w:r>
      <w:r>
        <w:rPr>
          <w:rFonts w:eastAsia="方正仿宋_GBK" w:hint="eastAsia"/>
          <w:sz w:val="32"/>
          <w:szCs w:val="32"/>
        </w:rPr>
        <w:t>94</w:t>
      </w:r>
      <w:r>
        <w:rPr>
          <w:rFonts w:eastAsia="方正仿宋_GBK"/>
          <w:sz w:val="32"/>
          <w:szCs w:val="32"/>
        </w:rPr>
        <w:t>0</w:t>
      </w:r>
      <w:r>
        <w:rPr>
          <w:rFonts w:eastAsia="方正仿宋_GBK"/>
          <w:sz w:val="32"/>
          <w:szCs w:val="32"/>
        </w:rPr>
        <w:t>多个网点。</w:t>
      </w:r>
      <w:bookmarkEnd w:id="27"/>
      <w:bookmarkEnd w:id="28"/>
      <w:r>
        <w:rPr>
          <w:rFonts w:eastAsia="方正仿宋_GBK"/>
          <w:color w:val="000000"/>
          <w:sz w:val="32"/>
          <w:szCs w:val="32"/>
        </w:rPr>
        <w:t>用好</w:t>
      </w:r>
      <w:r>
        <w:rPr>
          <w:rFonts w:eastAsia="方正仿宋_GBK"/>
          <w:color w:val="000000"/>
          <w:sz w:val="32"/>
          <w:szCs w:val="32"/>
        </w:rPr>
        <w:t>148</w:t>
      </w:r>
      <w:r>
        <w:rPr>
          <w:rFonts w:eastAsia="方正仿宋_GBK"/>
          <w:color w:val="000000"/>
          <w:sz w:val="32"/>
          <w:szCs w:val="32"/>
        </w:rPr>
        <w:t>个服务企业群实时对接、跟踪服务，</w:t>
      </w:r>
      <w:r>
        <w:rPr>
          <w:rFonts w:eastAsia="方正仿宋_GBK"/>
          <w:snapToGrid w:val="0"/>
          <w:kern w:val="0"/>
          <w:sz w:val="32"/>
          <w:szCs w:val="32"/>
        </w:rPr>
        <w:t>做优局门户网站和</w:t>
      </w:r>
      <w:r>
        <w:rPr>
          <w:rFonts w:eastAsia="方正仿宋_GBK"/>
          <w:snapToGrid w:val="0"/>
          <w:kern w:val="0"/>
          <w:sz w:val="32"/>
          <w:szCs w:val="32"/>
        </w:rPr>
        <w:t>“</w:t>
      </w:r>
      <w:r>
        <w:rPr>
          <w:rFonts w:eastAsia="方正仿宋_GBK"/>
          <w:snapToGrid w:val="0"/>
          <w:kern w:val="0"/>
          <w:sz w:val="32"/>
          <w:szCs w:val="32"/>
        </w:rPr>
        <w:t>南京人社</w:t>
      </w:r>
      <w:r>
        <w:rPr>
          <w:rFonts w:eastAsia="方正仿宋_GBK"/>
          <w:snapToGrid w:val="0"/>
          <w:kern w:val="0"/>
          <w:sz w:val="32"/>
          <w:szCs w:val="32"/>
        </w:rPr>
        <w:t>”</w:t>
      </w:r>
      <w:r>
        <w:rPr>
          <w:rFonts w:eastAsia="方正仿宋_GBK"/>
          <w:snapToGrid w:val="0"/>
          <w:kern w:val="0"/>
          <w:sz w:val="32"/>
          <w:szCs w:val="32"/>
        </w:rPr>
        <w:t>等微信公众号，人社</w:t>
      </w:r>
      <w:r>
        <w:rPr>
          <w:rFonts w:eastAsia="方正仿宋_GBK"/>
          <w:snapToGrid w:val="0"/>
          <w:kern w:val="0"/>
          <w:sz w:val="32"/>
          <w:szCs w:val="32"/>
        </w:rPr>
        <w:t>12333</w:t>
      </w:r>
      <w:r>
        <w:rPr>
          <w:rFonts w:eastAsia="方正仿宋_GBK"/>
          <w:snapToGrid w:val="0"/>
          <w:kern w:val="0"/>
          <w:sz w:val="32"/>
          <w:szCs w:val="32"/>
        </w:rPr>
        <w:t>咨询</w:t>
      </w:r>
      <w:r>
        <w:rPr>
          <w:rFonts w:eastAsia="方正仿宋_GBK"/>
          <w:sz w:val="32"/>
        </w:rPr>
        <w:t>服务全天候运行、</w:t>
      </w:r>
      <w:r>
        <w:rPr>
          <w:rFonts w:eastAsia="方正仿宋_GBK"/>
          <w:snapToGrid w:val="0"/>
          <w:color w:val="000000"/>
          <w:kern w:val="0"/>
          <w:sz w:val="32"/>
          <w:szCs w:val="32"/>
        </w:rPr>
        <w:t>综合满意度</w:t>
      </w:r>
      <w:r>
        <w:rPr>
          <w:rFonts w:eastAsia="方正仿宋_GBK" w:hint="eastAsia"/>
          <w:snapToGrid w:val="0"/>
          <w:color w:val="000000"/>
          <w:kern w:val="0"/>
          <w:sz w:val="32"/>
          <w:szCs w:val="32"/>
        </w:rPr>
        <w:t>9</w:t>
      </w:r>
      <w:r>
        <w:rPr>
          <w:rFonts w:eastAsia="方正仿宋_GBK"/>
          <w:snapToGrid w:val="0"/>
          <w:color w:val="000000"/>
          <w:kern w:val="0"/>
          <w:sz w:val="32"/>
          <w:szCs w:val="32"/>
        </w:rPr>
        <w:t>9.77%</w:t>
      </w:r>
      <w:r>
        <w:rPr>
          <w:rFonts w:eastAsia="方正仿宋_GBK"/>
          <w:snapToGrid w:val="0"/>
          <w:color w:val="000000"/>
          <w:kern w:val="0"/>
          <w:sz w:val="32"/>
          <w:szCs w:val="32"/>
        </w:rPr>
        <w:t>。</w:t>
      </w:r>
      <w:r>
        <w:rPr>
          <w:rFonts w:eastAsia="方正楷体_GBK"/>
          <w:sz w:val="32"/>
        </w:rPr>
        <w:t>六</w:t>
      </w:r>
      <w:r>
        <w:rPr>
          <w:rFonts w:eastAsia="方正楷体_GBK" w:hint="eastAsia"/>
          <w:sz w:val="32"/>
        </w:rPr>
        <w:t>是</w:t>
      </w:r>
      <w:r>
        <w:rPr>
          <w:rFonts w:eastAsia="方正楷体_GBK"/>
          <w:sz w:val="32"/>
        </w:rPr>
        <w:t>政治引领凝心铸魂，人社队伍作风更优。</w:t>
      </w:r>
      <w:r>
        <w:rPr>
          <w:rFonts w:eastAsia="方正仿宋_GBK"/>
          <w:color w:val="000000"/>
          <w:sz w:val="32"/>
          <w:szCs w:val="32"/>
        </w:rPr>
        <w:t>强化思想武装，深入学习贯彻习近平新时代中国特色社会主义思想和党的二十届三中全会精神等，开展集中理论学习</w:t>
      </w:r>
      <w:r>
        <w:rPr>
          <w:rFonts w:eastAsia="方正仿宋_GBK"/>
          <w:color w:val="000000"/>
          <w:sz w:val="32"/>
          <w:szCs w:val="32"/>
        </w:rPr>
        <w:t>40</w:t>
      </w:r>
      <w:r>
        <w:rPr>
          <w:rFonts w:eastAsia="方正仿宋_GBK"/>
          <w:color w:val="000000"/>
          <w:sz w:val="32"/>
          <w:szCs w:val="32"/>
        </w:rPr>
        <w:t>场</w:t>
      </w:r>
      <w:r>
        <w:rPr>
          <w:rFonts w:eastAsia="方正仿宋_GBK"/>
          <w:sz w:val="32"/>
          <w:szCs w:val="32"/>
        </w:rPr>
        <w:t>。落实全面从严治党，制定实施机关党建</w:t>
      </w:r>
      <w:r>
        <w:rPr>
          <w:rFonts w:eastAsia="方正仿宋_GBK"/>
          <w:sz w:val="32"/>
          <w:szCs w:val="32"/>
        </w:rPr>
        <w:t>“</w:t>
      </w:r>
      <w:r>
        <w:rPr>
          <w:rFonts w:eastAsia="方正仿宋_GBK"/>
          <w:sz w:val="32"/>
          <w:szCs w:val="32"/>
        </w:rPr>
        <w:t>三级责任清单</w:t>
      </w:r>
      <w:r>
        <w:rPr>
          <w:rFonts w:eastAsia="方正仿宋_GBK"/>
          <w:sz w:val="32"/>
          <w:szCs w:val="32"/>
        </w:rPr>
        <w:t>”</w:t>
      </w:r>
      <w:r>
        <w:rPr>
          <w:rFonts w:eastAsia="方正仿宋_GBK"/>
          <w:sz w:val="32"/>
          <w:szCs w:val="32"/>
        </w:rPr>
        <w:t>，制发局党组年度主体责任清单、全面从严治党工作要点和党建工作要点，开展局党组中心组理论学习</w:t>
      </w:r>
      <w:r>
        <w:rPr>
          <w:rFonts w:eastAsia="方正仿宋_GBK" w:hint="eastAsia"/>
          <w:sz w:val="32"/>
          <w:szCs w:val="32"/>
        </w:rPr>
        <w:t>1</w:t>
      </w:r>
      <w:r>
        <w:rPr>
          <w:rFonts w:eastAsia="方正仿宋_GBK"/>
          <w:sz w:val="32"/>
          <w:szCs w:val="32"/>
        </w:rPr>
        <w:t>6</w:t>
      </w:r>
      <w:r>
        <w:rPr>
          <w:rFonts w:eastAsia="方正仿宋_GBK"/>
          <w:sz w:val="32"/>
          <w:szCs w:val="32"/>
        </w:rPr>
        <w:t>次。</w:t>
      </w:r>
      <w:bookmarkStart w:id="29" w:name="OLE_LINK56"/>
      <w:bookmarkStart w:id="30" w:name="OLE_LINK55"/>
      <w:r>
        <w:rPr>
          <w:rFonts w:eastAsia="方正仿宋_GBK"/>
          <w:sz w:val="32"/>
          <w:szCs w:val="32"/>
        </w:rPr>
        <w:t>深化</w:t>
      </w:r>
      <w:r>
        <w:rPr>
          <w:rFonts w:eastAsia="方正仿宋_GBK"/>
          <w:sz w:val="32"/>
          <w:szCs w:val="32"/>
        </w:rPr>
        <w:lastRenderedPageBreak/>
        <w:t>“</w:t>
      </w:r>
      <w:r>
        <w:rPr>
          <w:rFonts w:eastAsia="方正仿宋_GBK"/>
          <w:sz w:val="32"/>
          <w:szCs w:val="32"/>
        </w:rPr>
        <w:t>廉洁机关</w:t>
      </w:r>
      <w:r>
        <w:rPr>
          <w:rFonts w:eastAsia="方正仿宋_GBK"/>
          <w:sz w:val="32"/>
          <w:szCs w:val="32"/>
        </w:rPr>
        <w:t>”</w:t>
      </w:r>
      <w:r>
        <w:rPr>
          <w:rFonts w:eastAsia="方正仿宋_GBK"/>
          <w:sz w:val="32"/>
          <w:szCs w:val="32"/>
        </w:rPr>
        <w:t>建设，巩固南京人社</w:t>
      </w:r>
      <w:r>
        <w:rPr>
          <w:rFonts w:eastAsia="方正仿宋_GBK"/>
          <w:sz w:val="32"/>
          <w:szCs w:val="32"/>
        </w:rPr>
        <w:t>“</w:t>
      </w:r>
      <w:r>
        <w:rPr>
          <w:rFonts w:eastAsia="方正仿宋_GBK"/>
          <w:sz w:val="32"/>
          <w:szCs w:val="32"/>
        </w:rPr>
        <w:t>清廉苑</w:t>
      </w:r>
      <w:r>
        <w:rPr>
          <w:rFonts w:eastAsia="方正仿宋_GBK"/>
          <w:sz w:val="32"/>
          <w:szCs w:val="32"/>
        </w:rPr>
        <w:t>”</w:t>
      </w:r>
      <w:r>
        <w:rPr>
          <w:rFonts w:eastAsia="方正仿宋_GBK"/>
          <w:sz w:val="32"/>
          <w:szCs w:val="32"/>
        </w:rPr>
        <w:t>廉政品牌建设成果，开展警示教育活动</w:t>
      </w:r>
      <w:r>
        <w:rPr>
          <w:rFonts w:eastAsia="方正仿宋_GBK" w:hint="eastAsia"/>
          <w:sz w:val="32"/>
          <w:szCs w:val="32"/>
        </w:rPr>
        <w:t>3</w:t>
      </w:r>
      <w:r>
        <w:rPr>
          <w:rFonts w:eastAsia="方正仿宋_GBK"/>
          <w:sz w:val="32"/>
          <w:szCs w:val="32"/>
        </w:rPr>
        <w:t>5</w:t>
      </w:r>
      <w:r>
        <w:rPr>
          <w:rFonts w:eastAsia="方正仿宋_GBK"/>
          <w:sz w:val="32"/>
          <w:szCs w:val="32"/>
        </w:rPr>
        <w:t>场，</w:t>
      </w:r>
      <w:bookmarkStart w:id="31" w:name="OLE_LINK17"/>
      <w:r>
        <w:rPr>
          <w:rFonts w:eastAsia="方正仿宋_GBK"/>
          <w:sz w:val="32"/>
          <w:szCs w:val="32"/>
        </w:rPr>
        <w:t>深入践行监督执纪</w:t>
      </w:r>
      <w:r>
        <w:rPr>
          <w:rFonts w:eastAsia="方正仿宋_GBK"/>
          <w:sz w:val="32"/>
          <w:szCs w:val="32"/>
        </w:rPr>
        <w:t>“</w:t>
      </w:r>
      <w:r>
        <w:rPr>
          <w:rFonts w:eastAsia="方正仿宋_GBK"/>
          <w:sz w:val="32"/>
          <w:szCs w:val="32"/>
        </w:rPr>
        <w:t>四种形态</w:t>
      </w:r>
      <w:r>
        <w:rPr>
          <w:rFonts w:eastAsia="方正仿宋_GBK"/>
          <w:sz w:val="32"/>
          <w:szCs w:val="32"/>
        </w:rPr>
        <w:t>”</w:t>
      </w:r>
      <w:r>
        <w:rPr>
          <w:rFonts w:eastAsia="方正仿宋_GBK"/>
          <w:sz w:val="32"/>
          <w:szCs w:val="32"/>
        </w:rPr>
        <w:t>，执行党政纪处分</w:t>
      </w:r>
      <w:r>
        <w:rPr>
          <w:rFonts w:eastAsia="方正仿宋_GBK" w:hint="eastAsia"/>
          <w:sz w:val="32"/>
          <w:szCs w:val="32"/>
        </w:rPr>
        <w:t>1</w:t>
      </w:r>
      <w:r>
        <w:rPr>
          <w:rFonts w:eastAsia="方正仿宋_GBK"/>
          <w:sz w:val="32"/>
          <w:szCs w:val="32"/>
        </w:rPr>
        <w:t>人、批评教育</w:t>
      </w:r>
      <w:r>
        <w:rPr>
          <w:rFonts w:eastAsia="方正仿宋_GBK" w:hint="eastAsia"/>
          <w:sz w:val="32"/>
          <w:szCs w:val="32"/>
        </w:rPr>
        <w:t>2</w:t>
      </w:r>
      <w:r>
        <w:rPr>
          <w:rFonts w:eastAsia="方正仿宋_GBK"/>
          <w:sz w:val="32"/>
          <w:szCs w:val="32"/>
        </w:rPr>
        <w:t>人。</w:t>
      </w:r>
      <w:bookmarkEnd w:id="29"/>
      <w:bookmarkEnd w:id="30"/>
      <w:bookmarkEnd w:id="31"/>
      <w:r>
        <w:rPr>
          <w:rFonts w:eastAsia="方正仿宋_GBK"/>
          <w:sz w:val="32"/>
          <w:szCs w:val="32"/>
        </w:rPr>
        <w:t>深入抓好机关作风和系统行风建设，持续开展岗位技能练兵比武和</w:t>
      </w:r>
      <w:r>
        <w:rPr>
          <w:rFonts w:eastAsia="方正仿宋_GBK"/>
          <w:sz w:val="32"/>
          <w:szCs w:val="32"/>
        </w:rPr>
        <w:t>“</w:t>
      </w:r>
      <w:r>
        <w:rPr>
          <w:rFonts w:eastAsia="方正仿宋_GBK"/>
          <w:sz w:val="32"/>
          <w:szCs w:val="32"/>
        </w:rPr>
        <w:t>人社学思行</w:t>
      </w:r>
      <w:r>
        <w:rPr>
          <w:rFonts w:eastAsia="方正仿宋_GBK"/>
          <w:sz w:val="32"/>
          <w:szCs w:val="32"/>
        </w:rPr>
        <w:t>”</w:t>
      </w:r>
      <w:r>
        <w:rPr>
          <w:rFonts w:eastAsia="方正仿宋_GBK"/>
          <w:sz w:val="32"/>
          <w:szCs w:val="32"/>
        </w:rPr>
        <w:t>，</w:t>
      </w:r>
      <w:r>
        <w:rPr>
          <w:rFonts w:eastAsia="方正仿宋_GBK"/>
          <w:spacing w:val="-3"/>
          <w:kern w:val="0"/>
          <w:sz w:val="32"/>
          <w:szCs w:val="32"/>
        </w:rPr>
        <w:t>积极投身</w:t>
      </w:r>
      <w:r>
        <w:rPr>
          <w:rFonts w:eastAsia="方正仿宋_GBK"/>
          <w:spacing w:val="-3"/>
          <w:kern w:val="0"/>
          <w:sz w:val="32"/>
          <w:szCs w:val="32"/>
        </w:rPr>
        <w:t>“</w:t>
      </w:r>
      <w:r>
        <w:rPr>
          <w:rFonts w:eastAsia="方正仿宋_GBK"/>
          <w:spacing w:val="-3"/>
          <w:kern w:val="0"/>
          <w:sz w:val="32"/>
          <w:szCs w:val="32"/>
        </w:rPr>
        <w:t>五拼五比晒五榜勠力同心促发展</w:t>
      </w:r>
      <w:r>
        <w:rPr>
          <w:rFonts w:eastAsia="方正仿宋_GBK"/>
          <w:spacing w:val="-3"/>
          <w:kern w:val="0"/>
          <w:sz w:val="32"/>
          <w:szCs w:val="32"/>
        </w:rPr>
        <w:t>”</w:t>
      </w:r>
      <w:r>
        <w:rPr>
          <w:rFonts w:eastAsia="方正仿宋_GBK"/>
          <w:spacing w:val="-3"/>
          <w:kern w:val="0"/>
          <w:sz w:val="32"/>
          <w:szCs w:val="32"/>
        </w:rPr>
        <w:t>竞赛活动，</w:t>
      </w:r>
      <w:r>
        <w:rPr>
          <w:rFonts w:eastAsia="方正仿宋_GBK"/>
          <w:sz w:val="32"/>
          <w:szCs w:val="32"/>
        </w:rPr>
        <w:t>立足事业发展需要开展干部选任、职级晋升和轮岗交流</w:t>
      </w:r>
      <w:r>
        <w:rPr>
          <w:rFonts w:eastAsia="方正仿宋_GBK"/>
          <w:kern w:val="0"/>
          <w:sz w:val="32"/>
          <w:szCs w:val="32"/>
        </w:rPr>
        <w:t>，</w:t>
      </w:r>
      <w:r>
        <w:rPr>
          <w:rFonts w:eastAsia="方正仿宋_GBK"/>
          <w:sz w:val="32"/>
          <w:szCs w:val="32"/>
        </w:rPr>
        <w:t>不断提升干部队伍履职能力。</w:t>
      </w:r>
    </w:p>
    <w:p w14:paraId="72963A93" w14:textId="77777777" w:rsidR="00260726" w:rsidRDefault="00E936D8">
      <w:pPr>
        <w:widowControl/>
        <w:adjustRightInd w:val="0"/>
        <w:snapToGrid w:val="0"/>
        <w:spacing w:line="560" w:lineRule="exact"/>
        <w:ind w:firstLineChars="200" w:firstLine="640"/>
        <w:rPr>
          <w:rFonts w:eastAsia="方正黑体_GBK"/>
          <w:color w:val="000000"/>
          <w:kern w:val="0"/>
          <w:sz w:val="32"/>
          <w:szCs w:val="32"/>
        </w:rPr>
      </w:pPr>
      <w:r>
        <w:rPr>
          <w:rFonts w:eastAsia="方正黑体_GBK"/>
          <w:color w:val="000000"/>
          <w:kern w:val="0"/>
          <w:sz w:val="32"/>
          <w:szCs w:val="32"/>
        </w:rPr>
        <w:t>四、存在的问题及原因分析</w:t>
      </w:r>
    </w:p>
    <w:p w14:paraId="3D105BBD" w14:textId="77777777" w:rsidR="00260726" w:rsidRDefault="00E936D8">
      <w:pPr>
        <w:widowControl/>
        <w:adjustRightInd w:val="0"/>
        <w:snapToGrid w:val="0"/>
        <w:spacing w:line="560" w:lineRule="exact"/>
        <w:ind w:firstLineChars="200" w:firstLine="640"/>
        <w:rPr>
          <w:rFonts w:eastAsia="方正仿宋_GBK"/>
          <w:sz w:val="32"/>
          <w:szCs w:val="32"/>
        </w:rPr>
      </w:pPr>
      <w:r>
        <w:rPr>
          <w:rFonts w:eastAsia="方正仿宋_GBK" w:hint="eastAsia"/>
          <w:sz w:val="32"/>
          <w:szCs w:val="32"/>
        </w:rPr>
        <w:t>习近平总书记在江苏考察时提出“四个走在前”</w:t>
      </w:r>
      <w:r>
        <w:rPr>
          <w:rFonts w:eastAsia="方正仿宋_GBK"/>
          <w:sz w:val="32"/>
          <w:szCs w:val="32"/>
        </w:rPr>
        <w:t>“</w:t>
      </w:r>
      <w:r>
        <w:rPr>
          <w:rFonts w:eastAsia="方正仿宋_GBK" w:hint="eastAsia"/>
          <w:sz w:val="32"/>
          <w:szCs w:val="32"/>
        </w:rPr>
        <w:t>四个新</w:t>
      </w:r>
      <w:r>
        <w:rPr>
          <w:rFonts w:eastAsia="方正仿宋_GBK"/>
          <w:sz w:val="32"/>
          <w:szCs w:val="32"/>
        </w:rPr>
        <w:t>”</w:t>
      </w:r>
      <w:r>
        <w:rPr>
          <w:rFonts w:eastAsia="方正仿宋_GBK" w:hint="eastAsia"/>
          <w:sz w:val="32"/>
          <w:szCs w:val="32"/>
        </w:rPr>
        <w:t>的重大要求，其中多方面与人社工作密切相关。</w:t>
      </w:r>
      <w:r>
        <w:rPr>
          <w:rFonts w:eastAsia="方正仿宋_GBK"/>
          <w:sz w:val="32"/>
          <w:szCs w:val="32"/>
        </w:rPr>
        <w:t>当前及今后一个时期，人社事业发展面临多重困难挑战：</w:t>
      </w:r>
      <w:r>
        <w:rPr>
          <w:rFonts w:eastAsia="方正仿宋_GBK" w:hint="eastAsia"/>
          <w:sz w:val="32"/>
          <w:szCs w:val="32"/>
        </w:rPr>
        <w:t>就业方面，总量压力高位运行，供需结构性矛盾日趋突出，互联网经济催生多元就业形态亟待明确界定和相关权益保障及时跟进；</w:t>
      </w:r>
      <w:r>
        <w:rPr>
          <w:rFonts w:eastAsia="方正仿宋_GBK"/>
          <w:sz w:val="32"/>
          <w:szCs w:val="32"/>
        </w:rPr>
        <w:t>人才</w:t>
      </w:r>
      <w:r>
        <w:rPr>
          <w:rFonts w:eastAsia="方正仿宋_GBK" w:hint="eastAsia"/>
          <w:sz w:val="32"/>
          <w:szCs w:val="32"/>
        </w:rPr>
        <w:t>方面，各地城市揽才</w:t>
      </w:r>
      <w:r>
        <w:rPr>
          <w:rFonts w:eastAsia="方正仿宋_GBK"/>
          <w:sz w:val="32"/>
          <w:szCs w:val="32"/>
        </w:rPr>
        <w:t>竞争日趋激烈</w:t>
      </w:r>
      <w:r>
        <w:rPr>
          <w:rFonts w:eastAsia="方正仿宋_GBK" w:hint="eastAsia"/>
          <w:sz w:val="32"/>
          <w:szCs w:val="32"/>
        </w:rPr>
        <w:t>，产业强市对打造相匹配的人才链提出新要求，人才引育工作亟待进一步提质增效；</w:t>
      </w:r>
      <w:r>
        <w:rPr>
          <w:rFonts w:eastAsia="方正仿宋_GBK"/>
          <w:sz w:val="32"/>
          <w:szCs w:val="32"/>
        </w:rPr>
        <w:t>社会保障</w:t>
      </w:r>
      <w:r>
        <w:rPr>
          <w:rFonts w:eastAsia="方正仿宋_GBK" w:hint="eastAsia"/>
          <w:sz w:val="32"/>
          <w:szCs w:val="32"/>
        </w:rPr>
        <w:t>方面，面对国家、省统筹及老龄化实际，多层次保障体系亟待进一步创新完善，社保经办管理服务能力需进一步提升；</w:t>
      </w:r>
      <w:r>
        <w:rPr>
          <w:rFonts w:eastAsia="方正仿宋_GBK"/>
          <w:sz w:val="32"/>
          <w:szCs w:val="32"/>
        </w:rPr>
        <w:t>劳动关系</w:t>
      </w:r>
      <w:r>
        <w:rPr>
          <w:rFonts w:eastAsia="方正仿宋_GBK" w:hint="eastAsia"/>
          <w:sz w:val="32"/>
          <w:szCs w:val="32"/>
        </w:rPr>
        <w:t>方面，经济领域不确定性因素向劳动用工传导，新老问题交织并存；锚定构建双循环发展大局，人社各领域</w:t>
      </w:r>
      <w:r>
        <w:rPr>
          <w:rFonts w:eastAsia="方正仿宋_GBK"/>
          <w:sz w:val="32"/>
          <w:szCs w:val="32"/>
        </w:rPr>
        <w:t>区域一体化发展有待纵深推进</w:t>
      </w:r>
      <w:r>
        <w:rPr>
          <w:rFonts w:eastAsia="方正仿宋_GBK" w:hint="eastAsia"/>
          <w:sz w:val="32"/>
          <w:szCs w:val="32"/>
        </w:rPr>
        <w:t>，</w:t>
      </w:r>
      <w:r>
        <w:rPr>
          <w:rFonts w:eastAsia="方正仿宋_GBK"/>
          <w:sz w:val="32"/>
          <w:szCs w:val="32"/>
        </w:rPr>
        <w:t>等等。对此，我们将科学研判，有效应对</w:t>
      </w:r>
      <w:r>
        <w:rPr>
          <w:rFonts w:eastAsia="方正仿宋_GBK" w:hint="eastAsia"/>
          <w:snapToGrid w:val="0"/>
          <w:kern w:val="0"/>
          <w:sz w:val="32"/>
          <w:szCs w:val="32"/>
        </w:rPr>
        <w:t>，全力以赴做好人社</w:t>
      </w:r>
      <w:r>
        <w:rPr>
          <w:rFonts w:eastAsia="方正仿宋_GBK"/>
          <w:snapToGrid w:val="0"/>
          <w:kern w:val="0"/>
          <w:sz w:val="32"/>
          <w:szCs w:val="32"/>
        </w:rPr>
        <w:t>领域</w:t>
      </w:r>
      <w:r>
        <w:rPr>
          <w:rFonts w:eastAsia="方正仿宋_GBK" w:hint="eastAsia"/>
          <w:snapToGrid w:val="0"/>
          <w:kern w:val="0"/>
          <w:sz w:val="32"/>
          <w:szCs w:val="32"/>
        </w:rPr>
        <w:t>各项</w:t>
      </w:r>
      <w:r>
        <w:rPr>
          <w:rFonts w:eastAsia="方正仿宋_GBK"/>
          <w:snapToGrid w:val="0"/>
          <w:kern w:val="0"/>
          <w:sz w:val="32"/>
          <w:szCs w:val="32"/>
        </w:rPr>
        <w:t>工作</w:t>
      </w:r>
      <w:r>
        <w:rPr>
          <w:rFonts w:eastAsia="方正仿宋_GBK" w:hint="eastAsia"/>
          <w:snapToGrid w:val="0"/>
          <w:kern w:val="0"/>
          <w:sz w:val="32"/>
          <w:szCs w:val="32"/>
        </w:rPr>
        <w:t>，努力</w:t>
      </w:r>
      <w:r>
        <w:rPr>
          <w:rFonts w:eastAsia="方正仿宋_GBK"/>
          <w:sz w:val="32"/>
          <w:szCs w:val="32"/>
        </w:rPr>
        <w:t>交出优</w:t>
      </w:r>
      <w:r>
        <w:rPr>
          <w:rFonts w:eastAsia="方正仿宋_GBK" w:hint="eastAsia"/>
          <w:sz w:val="32"/>
          <w:szCs w:val="32"/>
        </w:rPr>
        <w:t>质答卷。</w:t>
      </w:r>
    </w:p>
    <w:p w14:paraId="326A3B9A" w14:textId="77777777" w:rsidR="00260726" w:rsidRDefault="00E936D8">
      <w:pPr>
        <w:widowControl/>
        <w:adjustRightInd w:val="0"/>
        <w:snapToGrid w:val="0"/>
        <w:spacing w:line="560" w:lineRule="exact"/>
        <w:ind w:firstLineChars="200" w:firstLine="640"/>
        <w:rPr>
          <w:rFonts w:eastAsia="方正黑体_GBK"/>
          <w:color w:val="000000"/>
          <w:kern w:val="0"/>
          <w:sz w:val="32"/>
          <w:szCs w:val="32"/>
        </w:rPr>
      </w:pPr>
      <w:r>
        <w:rPr>
          <w:rFonts w:eastAsia="方正黑体_GBK"/>
          <w:color w:val="000000"/>
          <w:kern w:val="0"/>
          <w:sz w:val="32"/>
          <w:szCs w:val="32"/>
        </w:rPr>
        <w:t>五、有关建议</w:t>
      </w:r>
    </w:p>
    <w:p w14:paraId="2BCCBBFC" w14:textId="77777777" w:rsidR="00260726" w:rsidRDefault="00E936D8">
      <w:pPr>
        <w:overflowPunct w:val="0"/>
        <w:adjustRightInd w:val="0"/>
        <w:snapToGrid w:val="0"/>
        <w:spacing w:line="540" w:lineRule="exact"/>
        <w:ind w:firstLineChars="200" w:firstLine="640"/>
        <w:rPr>
          <w:rFonts w:eastAsia="方正仿宋_GBK"/>
          <w:snapToGrid w:val="0"/>
          <w:kern w:val="0"/>
          <w:sz w:val="32"/>
          <w:szCs w:val="32"/>
        </w:rPr>
      </w:pPr>
      <w:r>
        <w:rPr>
          <w:rFonts w:eastAsia="方正仿宋_GBK" w:hint="eastAsia"/>
          <w:snapToGrid w:val="0"/>
          <w:kern w:val="0"/>
          <w:sz w:val="32"/>
          <w:szCs w:val="32"/>
        </w:rPr>
        <w:t>深入贯彻党的二十大和习近平总书记关于江苏工作系列重</w:t>
      </w:r>
      <w:r>
        <w:rPr>
          <w:rFonts w:eastAsia="方正仿宋_GBK" w:hint="eastAsia"/>
          <w:snapToGrid w:val="0"/>
          <w:kern w:val="0"/>
          <w:sz w:val="32"/>
          <w:szCs w:val="32"/>
        </w:rPr>
        <w:lastRenderedPageBreak/>
        <w:t>要讲话指示精神，认真贯彻落实国家、省市决策部署，开拓进取，创新实干，全力做好各项工作，为中国式现代化南京新实践贡献人社力量。</w:t>
      </w:r>
    </w:p>
    <w:p w14:paraId="18DCE195" w14:textId="77777777" w:rsidR="00260726" w:rsidRDefault="00E936D8">
      <w:pPr>
        <w:overflowPunct w:val="0"/>
        <w:adjustRightInd w:val="0"/>
        <w:snapToGrid w:val="0"/>
        <w:spacing w:line="300" w:lineRule="auto"/>
        <w:ind w:firstLine="640"/>
        <w:rPr>
          <w:rFonts w:eastAsia="方正仿宋_GBK"/>
          <w:b/>
          <w:sz w:val="32"/>
          <w:szCs w:val="32"/>
        </w:rPr>
      </w:pPr>
      <w:r>
        <w:rPr>
          <w:rFonts w:eastAsia="方正楷体_GBK"/>
          <w:kern w:val="0"/>
          <w:sz w:val="32"/>
          <w:szCs w:val="32"/>
        </w:rPr>
        <w:t>一</w:t>
      </w:r>
      <w:r>
        <w:rPr>
          <w:rFonts w:eastAsia="方正楷体_GBK" w:hint="eastAsia"/>
          <w:kern w:val="0"/>
          <w:sz w:val="32"/>
          <w:szCs w:val="32"/>
        </w:rPr>
        <w:t>是</w:t>
      </w:r>
      <w:r>
        <w:rPr>
          <w:rFonts w:eastAsia="方正楷体_GBK"/>
          <w:sz w:val="32"/>
          <w:szCs w:val="32"/>
        </w:rPr>
        <w:t>全链协同发力，锚定高质量充分就业新目标。</w:t>
      </w:r>
      <w:r>
        <w:rPr>
          <w:rFonts w:eastAsia="方正仿宋_GBK"/>
          <w:sz w:val="32"/>
          <w:szCs w:val="32"/>
        </w:rPr>
        <w:t>健全</w:t>
      </w:r>
      <w:r>
        <w:rPr>
          <w:rFonts w:eastAsia="方正仿宋_GBK"/>
          <w:sz w:val="32"/>
          <w:szCs w:val="32"/>
        </w:rPr>
        <w:t>“</w:t>
      </w:r>
      <w:r>
        <w:rPr>
          <w:rFonts w:eastAsia="方正仿宋_GBK"/>
          <w:sz w:val="32"/>
          <w:szCs w:val="32"/>
        </w:rPr>
        <w:t>大就业</w:t>
      </w:r>
      <w:r>
        <w:rPr>
          <w:rFonts w:eastAsia="方正仿宋_GBK"/>
          <w:sz w:val="32"/>
          <w:szCs w:val="32"/>
        </w:rPr>
        <w:t>”</w:t>
      </w:r>
      <w:r>
        <w:rPr>
          <w:rFonts w:eastAsia="方正仿宋_GBK"/>
          <w:sz w:val="32"/>
          <w:szCs w:val="32"/>
        </w:rPr>
        <w:t>工作格局，立足职能加强惠企政策落实和人才、用工等服务保障，支持制造业、文旅服务业等吸纳就业较多的行业发展，开发就业新空间，力争全年城镇新增就业稳中有升达</w:t>
      </w:r>
      <w:r>
        <w:rPr>
          <w:rFonts w:eastAsia="方正仿宋_GBK"/>
          <w:sz w:val="32"/>
          <w:szCs w:val="32"/>
        </w:rPr>
        <w:t>21</w:t>
      </w:r>
      <w:r>
        <w:rPr>
          <w:rFonts w:eastAsia="方正仿宋_GBK"/>
          <w:sz w:val="32"/>
          <w:szCs w:val="32"/>
        </w:rPr>
        <w:t>万人。</w:t>
      </w:r>
      <w:r>
        <w:rPr>
          <w:rFonts w:eastAsia="方正仿宋_GBK"/>
          <w:kern w:val="0"/>
          <w:sz w:val="32"/>
          <w:szCs w:val="32"/>
        </w:rPr>
        <w:t>把支持高校毕业生留宁就业作为重中之重</w:t>
      </w:r>
      <w:r>
        <w:rPr>
          <w:rFonts w:eastAsia="方正仿宋_GBK"/>
          <w:sz w:val="32"/>
          <w:szCs w:val="32"/>
        </w:rPr>
        <w:t>，设立</w:t>
      </w:r>
      <w:r>
        <w:rPr>
          <w:rFonts w:eastAsia="方正仿宋_GBK" w:hint="eastAsia"/>
          <w:sz w:val="32"/>
          <w:szCs w:val="32"/>
        </w:rPr>
        <w:t>高校</w:t>
      </w:r>
      <w:r>
        <w:rPr>
          <w:rFonts w:eastAsia="方正仿宋_GBK"/>
          <w:sz w:val="32"/>
          <w:szCs w:val="32"/>
        </w:rPr>
        <w:t>服务专员深度对接</w:t>
      </w:r>
      <w:r>
        <w:rPr>
          <w:rFonts w:eastAsia="方正仿宋_GBK" w:hint="eastAsia"/>
          <w:sz w:val="32"/>
          <w:szCs w:val="32"/>
        </w:rPr>
        <w:t>在宁</w:t>
      </w:r>
      <w:r>
        <w:rPr>
          <w:rFonts w:eastAsia="方正仿宋_GBK"/>
          <w:sz w:val="32"/>
          <w:szCs w:val="32"/>
        </w:rPr>
        <w:t>高校实施</w:t>
      </w:r>
      <w:r>
        <w:rPr>
          <w:rFonts w:eastAsia="方正仿宋_GBK"/>
          <w:sz w:val="32"/>
          <w:szCs w:val="32"/>
        </w:rPr>
        <w:t>“</w:t>
      </w:r>
      <w:r>
        <w:rPr>
          <w:rFonts w:eastAsia="方正仿宋_GBK"/>
          <w:sz w:val="32"/>
          <w:szCs w:val="32"/>
        </w:rPr>
        <w:t>全周期</w:t>
      </w:r>
      <w:r>
        <w:rPr>
          <w:rFonts w:eastAsia="方正仿宋_GBK"/>
          <w:sz w:val="32"/>
          <w:szCs w:val="32"/>
        </w:rPr>
        <w:t>”</w:t>
      </w:r>
      <w:r>
        <w:rPr>
          <w:rFonts w:eastAsia="方正仿宋_GBK"/>
          <w:sz w:val="32"/>
          <w:szCs w:val="32"/>
        </w:rPr>
        <w:t>就业服务，加强就业困</w:t>
      </w:r>
      <w:r>
        <w:rPr>
          <w:rFonts w:eastAsia="方正仿宋_GBK"/>
          <w:snapToGrid w:val="0"/>
          <w:kern w:val="0"/>
          <w:sz w:val="32"/>
          <w:szCs w:val="32"/>
        </w:rPr>
        <w:t>难群体、农村劳动力等就业帮扶，</w:t>
      </w:r>
      <w:r>
        <w:rPr>
          <w:rFonts w:eastAsia="方正仿宋_GBK"/>
          <w:sz w:val="32"/>
        </w:rPr>
        <w:t>建设运行好零工市场、驿站等</w:t>
      </w:r>
      <w:r>
        <w:rPr>
          <w:rFonts w:eastAsia="方正仿宋_GBK"/>
          <w:sz w:val="32"/>
        </w:rPr>
        <w:t>“</w:t>
      </w:r>
      <w:r>
        <w:rPr>
          <w:rFonts w:eastAsia="方正仿宋_GBK"/>
          <w:sz w:val="32"/>
        </w:rPr>
        <w:t>即时快招</w:t>
      </w:r>
      <w:r>
        <w:rPr>
          <w:rFonts w:eastAsia="方正仿宋_GBK"/>
          <w:sz w:val="32"/>
        </w:rPr>
        <w:t>”</w:t>
      </w:r>
      <w:r>
        <w:rPr>
          <w:rFonts w:eastAsia="方正仿宋_GBK"/>
          <w:sz w:val="32"/>
        </w:rPr>
        <w:t>平台</w:t>
      </w:r>
      <w:r>
        <w:rPr>
          <w:rFonts w:eastAsia="方正仿宋_GBK"/>
          <w:color w:val="000000"/>
          <w:sz w:val="32"/>
          <w:szCs w:val="32"/>
        </w:rPr>
        <w:t>，</w:t>
      </w:r>
      <w:r>
        <w:rPr>
          <w:rFonts w:eastAsia="方正仿宋_GBK"/>
          <w:sz w:val="32"/>
        </w:rPr>
        <w:t>推进标准化</w:t>
      </w:r>
      <w:r>
        <w:rPr>
          <w:rFonts w:eastAsia="方正仿宋_GBK"/>
          <w:sz w:val="32"/>
        </w:rPr>
        <w:t>“</w:t>
      </w:r>
      <w:r>
        <w:rPr>
          <w:rFonts w:eastAsia="方正仿宋_GBK"/>
          <w:sz w:val="32"/>
        </w:rPr>
        <w:t>家门口</w:t>
      </w:r>
      <w:r>
        <w:rPr>
          <w:rFonts w:eastAsia="方正仿宋_GBK"/>
          <w:sz w:val="32"/>
        </w:rPr>
        <w:t>”</w:t>
      </w:r>
      <w:r>
        <w:rPr>
          <w:rFonts w:eastAsia="方正仿宋_GBK"/>
          <w:sz w:val="32"/>
        </w:rPr>
        <w:t>就业服务站建设</w:t>
      </w:r>
      <w:r>
        <w:rPr>
          <w:rFonts w:eastAsia="方正仿宋_GBK"/>
          <w:color w:val="000000"/>
          <w:sz w:val="32"/>
          <w:szCs w:val="32"/>
        </w:rPr>
        <w:t>。</w:t>
      </w:r>
      <w:r>
        <w:rPr>
          <w:rFonts w:eastAsia="方正仿宋_GBK"/>
          <w:sz w:val="32"/>
          <w:szCs w:val="32"/>
        </w:rPr>
        <w:t>完善全链条创业扶持，培育更多市场主体。紧扣就业需求和产业发展精准实施职业技能培训</w:t>
      </w:r>
      <w:r>
        <w:rPr>
          <w:rFonts w:eastAsia="方正楷体_GBK"/>
          <w:sz w:val="32"/>
          <w:szCs w:val="32"/>
        </w:rPr>
        <w:t>，</w:t>
      </w:r>
      <w:r>
        <w:rPr>
          <w:rFonts w:eastAsia="方正仿宋_GBK"/>
          <w:sz w:val="32"/>
        </w:rPr>
        <w:t>全年开展补贴性技能培训不少于</w:t>
      </w:r>
      <w:r>
        <w:rPr>
          <w:rFonts w:eastAsia="方正仿宋_GBK"/>
          <w:sz w:val="32"/>
        </w:rPr>
        <w:t>10</w:t>
      </w:r>
      <w:r>
        <w:rPr>
          <w:rFonts w:eastAsia="方正仿宋_GBK"/>
          <w:sz w:val="32"/>
        </w:rPr>
        <w:t>万人次。</w:t>
      </w:r>
      <w:r>
        <w:rPr>
          <w:rFonts w:eastAsia="方正仿宋_GBK"/>
          <w:bCs/>
          <w:sz w:val="32"/>
          <w:szCs w:val="32"/>
        </w:rPr>
        <w:t>加强企业用工分析研判，</w:t>
      </w:r>
      <w:r>
        <w:rPr>
          <w:rFonts w:eastAsia="方正仿宋_GBK"/>
          <w:sz w:val="32"/>
          <w:szCs w:val="32"/>
        </w:rPr>
        <w:t>及时预警、积极妥处，确保不发生规模性失业风险</w:t>
      </w:r>
      <w:r>
        <w:rPr>
          <w:rFonts w:eastAsia="方正仿宋_GBK"/>
          <w:bCs/>
          <w:sz w:val="32"/>
          <w:szCs w:val="32"/>
        </w:rPr>
        <w:t>。</w:t>
      </w:r>
    </w:p>
    <w:p w14:paraId="1ED63A53" w14:textId="77777777" w:rsidR="00260726" w:rsidRDefault="00E936D8">
      <w:pPr>
        <w:overflowPunct w:val="0"/>
        <w:adjustRightInd w:val="0"/>
        <w:snapToGrid w:val="0"/>
        <w:spacing w:line="300" w:lineRule="auto"/>
        <w:ind w:firstLineChars="200" w:firstLine="640"/>
        <w:rPr>
          <w:rFonts w:eastAsia="方正仿宋_GBK"/>
          <w:sz w:val="32"/>
          <w:szCs w:val="32"/>
        </w:rPr>
      </w:pPr>
      <w:r>
        <w:rPr>
          <w:rFonts w:eastAsia="方正楷体_GBK" w:hint="eastAsia"/>
          <w:kern w:val="0"/>
          <w:sz w:val="32"/>
          <w:szCs w:val="32"/>
        </w:rPr>
        <w:t>二是</w:t>
      </w:r>
      <w:r>
        <w:rPr>
          <w:rFonts w:eastAsia="方正楷体_GBK"/>
          <w:kern w:val="0"/>
          <w:sz w:val="32"/>
          <w:szCs w:val="32"/>
        </w:rPr>
        <w:t>聚力人才引育，增强助力产业发展新动能。</w:t>
      </w:r>
      <w:r>
        <w:rPr>
          <w:rFonts w:eastAsia="方正仿宋_GBK"/>
          <w:color w:val="000000"/>
          <w:sz w:val="32"/>
          <w:szCs w:val="32"/>
        </w:rPr>
        <w:t>做优引才品牌，突出实效办好第</w:t>
      </w:r>
      <w:r>
        <w:rPr>
          <w:rFonts w:eastAsia="方正仿宋_GBK"/>
          <w:color w:val="000000"/>
          <w:sz w:val="32"/>
          <w:szCs w:val="32"/>
        </w:rPr>
        <w:t>17</w:t>
      </w:r>
      <w:r>
        <w:rPr>
          <w:rFonts w:eastAsia="方正仿宋_GBK"/>
          <w:color w:val="000000"/>
          <w:sz w:val="32"/>
          <w:szCs w:val="32"/>
        </w:rPr>
        <w:t>届南京留交会、</w:t>
      </w:r>
      <w:r>
        <w:rPr>
          <w:rFonts w:eastAsia="方正仿宋_GBK"/>
          <w:color w:val="000000"/>
          <w:sz w:val="32"/>
          <w:szCs w:val="32"/>
        </w:rPr>
        <w:t>“</w:t>
      </w:r>
      <w:r>
        <w:rPr>
          <w:rFonts w:eastAsia="方正仿宋_GBK"/>
          <w:color w:val="000000"/>
          <w:sz w:val="32"/>
          <w:szCs w:val="32"/>
        </w:rPr>
        <w:t>魅力南京</w:t>
      </w:r>
      <w:r>
        <w:rPr>
          <w:rFonts w:eastAsia="方正仿宋_GBK"/>
          <w:color w:val="000000"/>
          <w:sz w:val="32"/>
          <w:szCs w:val="32"/>
        </w:rPr>
        <w:t>”</w:t>
      </w:r>
      <w:r>
        <w:rPr>
          <w:rFonts w:eastAsia="方正仿宋_GBK"/>
          <w:color w:val="000000"/>
          <w:sz w:val="32"/>
          <w:szCs w:val="32"/>
        </w:rPr>
        <w:t>校园招聘推介活动。深化人才评价改革，</w:t>
      </w:r>
      <w:r>
        <w:rPr>
          <w:rFonts w:eastAsia="方正仿宋_GBK"/>
          <w:sz w:val="32"/>
          <w:szCs w:val="32"/>
        </w:rPr>
        <w:t>有序向重点单位和重点产业企业特别是民营企业下放职称评审权并跟进做好指导监管，</w:t>
      </w:r>
      <w:r>
        <w:rPr>
          <w:rFonts w:eastAsia="方正仿宋_GBK"/>
          <w:sz w:val="32"/>
        </w:rPr>
        <w:t>指导重点企业自主开展技能等级认定，</w:t>
      </w:r>
      <w:r>
        <w:rPr>
          <w:rFonts w:eastAsia="方正仿宋_GBK"/>
          <w:sz w:val="32"/>
          <w:szCs w:val="32"/>
        </w:rPr>
        <w:t>深入</w:t>
      </w:r>
      <w:r>
        <w:rPr>
          <w:rFonts w:eastAsia="方正仿宋_GBK"/>
          <w:color w:val="000000"/>
          <w:sz w:val="32"/>
          <w:szCs w:val="32"/>
        </w:rPr>
        <w:t>推进职称评价和技能等级认定双向</w:t>
      </w:r>
      <w:r>
        <w:rPr>
          <w:rFonts w:eastAsia="方正仿宋_GBK"/>
          <w:sz w:val="32"/>
          <w:szCs w:val="32"/>
        </w:rPr>
        <w:t>贯通。</w:t>
      </w:r>
      <w:r>
        <w:rPr>
          <w:rFonts w:eastAsia="方正仿宋_GBK"/>
          <w:color w:val="000000"/>
          <w:sz w:val="32"/>
          <w:szCs w:val="32"/>
        </w:rPr>
        <w:t>积极推动一批高技术、专精特新企业和重大科技创新平台设立博站。加快发展人力资源服务业，努力培育一</w:t>
      </w:r>
      <w:r>
        <w:rPr>
          <w:rFonts w:eastAsia="方正仿宋_GBK"/>
          <w:color w:val="000000"/>
          <w:sz w:val="32"/>
          <w:szCs w:val="32"/>
        </w:rPr>
        <w:lastRenderedPageBreak/>
        <w:t>批人力资源龙头企业。深化技工院校工学一体改革，拓展</w:t>
      </w:r>
      <w:r>
        <w:rPr>
          <w:rFonts w:eastAsia="方正仿宋_GBK"/>
          <w:sz w:val="32"/>
          <w:szCs w:val="32"/>
        </w:rPr>
        <w:t>校企合作单位、共建高技能人才培训基地等，发挥好各级技能大师工作室引领作用</w:t>
      </w:r>
      <w:r>
        <w:rPr>
          <w:rFonts w:eastAsia="方正仿宋_GBK"/>
          <w:color w:val="000000"/>
          <w:sz w:val="32"/>
          <w:szCs w:val="32"/>
        </w:rPr>
        <w:t>。</w:t>
      </w:r>
      <w:r>
        <w:rPr>
          <w:rFonts w:eastAsia="方正仿宋_GBK"/>
          <w:sz w:val="32"/>
          <w:szCs w:val="32"/>
        </w:rPr>
        <w:t>围绕在宁工作、生活、创新研发等各环节，持续做好</w:t>
      </w:r>
      <w:r>
        <w:rPr>
          <w:rFonts w:eastAsia="方正仿宋_GBK"/>
          <w:sz w:val="32"/>
        </w:rPr>
        <w:t>人才流动指导服务、租房补贴发放等</w:t>
      </w:r>
      <w:r>
        <w:rPr>
          <w:rFonts w:eastAsia="方正仿宋_GBK"/>
          <w:sz w:val="32"/>
          <w:szCs w:val="32"/>
        </w:rPr>
        <w:t>人才服务</w:t>
      </w:r>
      <w:r>
        <w:rPr>
          <w:rFonts w:eastAsia="方正仿宋_GBK"/>
          <w:sz w:val="32"/>
          <w:szCs w:val="32"/>
        </w:rPr>
        <w:t>“</w:t>
      </w:r>
      <w:r>
        <w:rPr>
          <w:rFonts w:eastAsia="方正仿宋_GBK"/>
          <w:sz w:val="32"/>
          <w:szCs w:val="32"/>
        </w:rPr>
        <w:t>关键小事</w:t>
      </w:r>
      <w:r>
        <w:rPr>
          <w:rFonts w:eastAsia="方正仿宋_GBK"/>
          <w:sz w:val="32"/>
          <w:szCs w:val="32"/>
        </w:rPr>
        <w:t>”</w:t>
      </w:r>
      <w:r>
        <w:rPr>
          <w:rFonts w:eastAsia="方正仿宋_GBK"/>
          <w:sz w:val="32"/>
          <w:szCs w:val="32"/>
        </w:rPr>
        <w:t>。</w:t>
      </w:r>
    </w:p>
    <w:p w14:paraId="3F5F9A7B" w14:textId="77777777" w:rsidR="00260726" w:rsidRDefault="00E936D8">
      <w:pPr>
        <w:overflowPunct w:val="0"/>
        <w:adjustRightInd w:val="0"/>
        <w:snapToGrid w:val="0"/>
        <w:spacing w:line="300" w:lineRule="auto"/>
        <w:ind w:firstLineChars="200" w:firstLine="640"/>
        <w:rPr>
          <w:rFonts w:eastAsia="方正楷体_GBK"/>
          <w:sz w:val="32"/>
        </w:rPr>
      </w:pPr>
      <w:r>
        <w:rPr>
          <w:rFonts w:eastAsia="方正楷体_GBK" w:hint="eastAsia"/>
          <w:kern w:val="0"/>
          <w:sz w:val="32"/>
          <w:szCs w:val="32"/>
        </w:rPr>
        <w:t>三是</w:t>
      </w:r>
      <w:r>
        <w:rPr>
          <w:rFonts w:eastAsia="方正楷体_GBK"/>
          <w:kern w:val="0"/>
          <w:sz w:val="32"/>
          <w:szCs w:val="32"/>
        </w:rPr>
        <w:t>织密多元体系，迈出社保提质扩面新步伐。</w:t>
      </w:r>
      <w:r>
        <w:rPr>
          <w:rFonts w:eastAsia="方正仿宋_GBK"/>
          <w:bCs/>
          <w:sz w:val="32"/>
          <w:szCs w:val="32"/>
        </w:rPr>
        <w:t>落实国家、省部署，平稳有序做好延迟退休改革、过渡性养老金二次增发和个人养老金制度实施等工作。</w:t>
      </w:r>
      <w:r>
        <w:rPr>
          <w:rFonts w:eastAsia="方正仿宋_GBK"/>
          <w:snapToGrid w:val="0"/>
          <w:kern w:val="0"/>
          <w:sz w:val="32"/>
          <w:szCs w:val="32"/>
        </w:rPr>
        <w:t>做好机关事业单位退休</w:t>
      </w:r>
      <w:r>
        <w:rPr>
          <w:rFonts w:eastAsia="方正仿宋_GBK"/>
          <w:snapToGrid w:val="0"/>
          <w:kern w:val="0"/>
          <w:sz w:val="32"/>
          <w:szCs w:val="32"/>
        </w:rPr>
        <w:t>“</w:t>
      </w:r>
      <w:r>
        <w:rPr>
          <w:rFonts w:eastAsia="方正仿宋_GBK"/>
          <w:snapToGrid w:val="0"/>
          <w:kern w:val="0"/>
          <w:sz w:val="32"/>
          <w:szCs w:val="32"/>
        </w:rPr>
        <w:t>中人</w:t>
      </w:r>
      <w:r>
        <w:rPr>
          <w:rFonts w:eastAsia="方正仿宋_GBK"/>
          <w:snapToGrid w:val="0"/>
          <w:kern w:val="0"/>
          <w:sz w:val="32"/>
          <w:szCs w:val="32"/>
        </w:rPr>
        <w:t>”</w:t>
      </w:r>
      <w:r>
        <w:rPr>
          <w:rFonts w:eastAsia="方正仿宋_GBK"/>
          <w:snapToGrid w:val="0"/>
          <w:kern w:val="0"/>
          <w:sz w:val="32"/>
          <w:szCs w:val="32"/>
        </w:rPr>
        <w:t>养老金发放，</w:t>
      </w:r>
      <w:r>
        <w:rPr>
          <w:rFonts w:eastAsia="方正仿宋_GBK" w:hint="eastAsia"/>
          <w:snapToGrid w:val="0"/>
          <w:kern w:val="0"/>
          <w:sz w:val="32"/>
          <w:szCs w:val="32"/>
        </w:rPr>
        <w:t>持续扩大企业年金覆盖面</w:t>
      </w:r>
      <w:r>
        <w:rPr>
          <w:rFonts w:eastAsia="方正仿宋_GBK"/>
          <w:snapToGrid w:val="0"/>
          <w:kern w:val="0"/>
          <w:sz w:val="32"/>
          <w:szCs w:val="32"/>
        </w:rPr>
        <w:t>。</w:t>
      </w:r>
      <w:r>
        <w:rPr>
          <w:rFonts w:eastAsia="方正仿宋_GBK"/>
          <w:color w:val="000000"/>
          <w:sz w:val="32"/>
          <w:szCs w:val="32"/>
        </w:rPr>
        <w:t>统筹做好退休人员养老金、城乡居民养老保险基础养老金、特殊群体社保待遇等调整和代缴困难群体养老保险费工作。深化</w:t>
      </w:r>
      <w:r>
        <w:rPr>
          <w:rFonts w:eastAsia="方正仿宋_GBK"/>
          <w:color w:val="000000"/>
          <w:sz w:val="32"/>
          <w:szCs w:val="32"/>
        </w:rPr>
        <w:t>“</w:t>
      </w:r>
      <w:r>
        <w:rPr>
          <w:rFonts w:eastAsia="方正仿宋_GBK"/>
          <w:color w:val="000000"/>
          <w:sz w:val="32"/>
          <w:szCs w:val="32"/>
        </w:rPr>
        <w:t>数据找人</w:t>
      </w:r>
      <w:r>
        <w:rPr>
          <w:rFonts w:eastAsia="方正仿宋_GBK"/>
          <w:color w:val="000000"/>
          <w:sz w:val="32"/>
          <w:szCs w:val="32"/>
        </w:rPr>
        <w:t>”</w:t>
      </w:r>
      <w:r>
        <w:rPr>
          <w:rFonts w:eastAsia="方正仿宋_GBK" w:hint="eastAsia"/>
          <w:color w:val="000000"/>
          <w:sz w:val="32"/>
          <w:szCs w:val="32"/>
        </w:rPr>
        <w:t>推动社保精准扩面</w:t>
      </w:r>
      <w:r>
        <w:rPr>
          <w:rFonts w:eastAsia="方正仿宋_GBK"/>
          <w:color w:val="000000"/>
          <w:sz w:val="32"/>
          <w:szCs w:val="32"/>
        </w:rPr>
        <w:t>，做好新业态从业人员参保。强化社保基金监管，持续优化社保经办服务，推动社保服务更加利企便民。</w:t>
      </w:r>
    </w:p>
    <w:p w14:paraId="0D502D67" w14:textId="77777777" w:rsidR="00260726" w:rsidRDefault="00E936D8">
      <w:pPr>
        <w:overflowPunct w:val="0"/>
        <w:adjustRightInd w:val="0"/>
        <w:snapToGrid w:val="0"/>
        <w:spacing w:line="300" w:lineRule="auto"/>
        <w:ind w:firstLineChars="200" w:firstLine="640"/>
        <w:rPr>
          <w:rFonts w:eastAsia="方正仿宋_GBK"/>
          <w:sz w:val="32"/>
          <w:szCs w:val="32"/>
        </w:rPr>
      </w:pPr>
      <w:r>
        <w:rPr>
          <w:rFonts w:eastAsia="方正楷体_GBK"/>
          <w:kern w:val="0"/>
          <w:sz w:val="32"/>
          <w:szCs w:val="32"/>
        </w:rPr>
        <w:t>四</w:t>
      </w:r>
      <w:r>
        <w:rPr>
          <w:rFonts w:eastAsia="方正楷体_GBK" w:hint="eastAsia"/>
          <w:kern w:val="0"/>
          <w:sz w:val="32"/>
          <w:szCs w:val="32"/>
        </w:rPr>
        <w:t>是</w:t>
      </w:r>
      <w:r>
        <w:rPr>
          <w:rFonts w:eastAsia="方正楷体_GBK"/>
          <w:kern w:val="0"/>
          <w:sz w:val="32"/>
          <w:szCs w:val="32"/>
        </w:rPr>
        <w:t>突出源头化解，构建和谐劳动关系新格局。</w:t>
      </w:r>
      <w:r>
        <w:rPr>
          <w:rFonts w:eastAsia="方正仿宋_GBK"/>
          <w:sz w:val="32"/>
        </w:rPr>
        <w:t>健全协商协调机制，联动市总工会、工商联等探索拓展区域性、行业性和新业态领域协调劳动关系三方机制建设。</w:t>
      </w:r>
      <w:r>
        <w:rPr>
          <w:rFonts w:eastAsia="方正仿宋_GBK"/>
          <w:sz w:val="32"/>
          <w:szCs w:val="32"/>
        </w:rPr>
        <w:t>做好制造业人工成本监测和相关行业企业薪酬调查，开展劳务派遣单位、</w:t>
      </w:r>
      <w:r>
        <w:rPr>
          <w:rFonts w:eastAsia="方正仿宋_GBK"/>
          <w:kern w:val="0"/>
          <w:sz w:val="32"/>
          <w:szCs w:val="32"/>
        </w:rPr>
        <w:t>人力资源服务机构信用评估</w:t>
      </w:r>
      <w:r>
        <w:rPr>
          <w:rFonts w:eastAsia="方正仿宋_GBK"/>
          <w:sz w:val="32"/>
          <w:szCs w:val="32"/>
        </w:rPr>
        <w:t>并加强结果运用。完善提升</w:t>
      </w:r>
      <w:r>
        <w:rPr>
          <w:rFonts w:eastAsia="方正仿宋_GBK"/>
          <w:sz w:val="32"/>
        </w:rPr>
        <w:t>“</w:t>
      </w:r>
      <w:r>
        <w:rPr>
          <w:rFonts w:eastAsia="方正仿宋_GBK"/>
          <w:sz w:val="32"/>
        </w:rPr>
        <w:t>五位一体</w:t>
      </w:r>
      <w:r>
        <w:rPr>
          <w:rFonts w:eastAsia="方正仿宋_GBK"/>
          <w:sz w:val="32"/>
        </w:rPr>
        <w:t>”</w:t>
      </w:r>
      <w:r>
        <w:rPr>
          <w:rFonts w:eastAsia="方正仿宋_GBK"/>
          <w:sz w:val="32"/>
        </w:rPr>
        <w:t>联合调处中心运行效能，</w:t>
      </w:r>
      <w:r>
        <w:rPr>
          <w:rFonts w:eastAsia="方正仿宋_GBK"/>
          <w:sz w:val="32"/>
          <w:szCs w:val="32"/>
        </w:rPr>
        <w:t>分级分类指导行业、园区、中大型企业推进调解组织建设，推深做实</w:t>
      </w:r>
      <w:r>
        <w:rPr>
          <w:rFonts w:eastAsia="方正仿宋_GBK"/>
          <w:sz w:val="32"/>
        </w:rPr>
        <w:t>新业态劳动纠纷一站式调解有关工作。加强治欠工作统筹协调</w:t>
      </w:r>
      <w:r>
        <w:rPr>
          <w:rFonts w:eastAsia="方正仿宋_GBK"/>
          <w:sz w:val="32"/>
          <w:szCs w:val="32"/>
        </w:rPr>
        <w:t>和欠薪矛盾隐患排查，推动保障工资支付各项制度落细落实，加大欠薪线索处置力度，切实维护劳动</w:t>
      </w:r>
      <w:r>
        <w:rPr>
          <w:rFonts w:eastAsia="方正仿宋_GBK"/>
          <w:sz w:val="32"/>
          <w:szCs w:val="32"/>
        </w:rPr>
        <w:lastRenderedPageBreak/>
        <w:t>者合法权益。</w:t>
      </w:r>
    </w:p>
    <w:p w14:paraId="6A2BD9BE" w14:textId="77777777" w:rsidR="00260726" w:rsidRDefault="00E936D8">
      <w:pPr>
        <w:overflowPunct w:val="0"/>
        <w:adjustRightInd w:val="0"/>
        <w:snapToGrid w:val="0"/>
        <w:spacing w:line="300" w:lineRule="auto"/>
        <w:ind w:firstLineChars="200" w:firstLine="640"/>
        <w:rPr>
          <w:rFonts w:eastAsia="方正仿宋_GBK"/>
          <w:kern w:val="0"/>
          <w:sz w:val="32"/>
          <w:szCs w:val="32"/>
        </w:rPr>
      </w:pPr>
      <w:r>
        <w:rPr>
          <w:rFonts w:eastAsia="方正楷体_GBK"/>
          <w:kern w:val="0"/>
          <w:sz w:val="32"/>
          <w:szCs w:val="32"/>
        </w:rPr>
        <w:t>五</w:t>
      </w:r>
      <w:r>
        <w:rPr>
          <w:rFonts w:eastAsia="方正楷体_GBK" w:hint="eastAsia"/>
          <w:kern w:val="0"/>
          <w:sz w:val="32"/>
          <w:szCs w:val="32"/>
        </w:rPr>
        <w:t>是</w:t>
      </w:r>
      <w:r>
        <w:rPr>
          <w:rFonts w:eastAsia="方正楷体_GBK"/>
          <w:kern w:val="0"/>
          <w:sz w:val="32"/>
          <w:szCs w:val="32"/>
        </w:rPr>
        <w:t>提升服务效能，展现人社队伍作风新气象。</w:t>
      </w:r>
      <w:r>
        <w:rPr>
          <w:rFonts w:eastAsia="方正仿宋_GBK"/>
          <w:sz w:val="32"/>
        </w:rPr>
        <w:t>充分运用</w:t>
      </w:r>
      <w:r>
        <w:rPr>
          <w:rFonts w:eastAsia="方正仿宋_GBK"/>
          <w:sz w:val="32"/>
        </w:rPr>
        <w:t>12345</w:t>
      </w:r>
      <w:r>
        <w:rPr>
          <w:rFonts w:eastAsia="方正仿宋_GBK"/>
          <w:sz w:val="32"/>
        </w:rPr>
        <w:t>、</w:t>
      </w:r>
      <w:r>
        <w:rPr>
          <w:rFonts w:eastAsia="方正仿宋_GBK"/>
          <w:sz w:val="32"/>
        </w:rPr>
        <w:t>12333</w:t>
      </w:r>
      <w:r>
        <w:rPr>
          <w:rFonts w:eastAsia="方正仿宋_GBK"/>
          <w:sz w:val="32"/>
        </w:rPr>
        <w:t>、建议提案、接待窗口、信箱信访等</w:t>
      </w:r>
      <w:r>
        <w:rPr>
          <w:rFonts w:eastAsia="方正仿宋_GBK" w:hint="eastAsia"/>
          <w:sz w:val="32"/>
        </w:rPr>
        <w:t>渠道广泛收集</w:t>
      </w:r>
      <w:r>
        <w:rPr>
          <w:rFonts w:eastAsia="方正仿宋_GBK"/>
          <w:sz w:val="32"/>
        </w:rPr>
        <w:t>“</w:t>
      </w:r>
      <w:r>
        <w:rPr>
          <w:rFonts w:eastAsia="方正仿宋_GBK"/>
          <w:sz w:val="32"/>
        </w:rPr>
        <w:t>微民声</w:t>
      </w:r>
      <w:r>
        <w:rPr>
          <w:rFonts w:eastAsia="方正仿宋_GBK"/>
          <w:sz w:val="32"/>
        </w:rPr>
        <w:t>”</w:t>
      </w:r>
      <w:r>
        <w:rPr>
          <w:rFonts w:eastAsia="方正仿宋_GBK"/>
          <w:sz w:val="32"/>
        </w:rPr>
        <w:t>，</w:t>
      </w:r>
      <w:r>
        <w:rPr>
          <w:rFonts w:eastAsia="方正仿宋_GBK" w:hint="eastAsia"/>
          <w:sz w:val="32"/>
        </w:rPr>
        <w:t>落实闭环管理，</w:t>
      </w:r>
      <w:r>
        <w:rPr>
          <w:rFonts w:eastAsia="方正仿宋_GBK"/>
          <w:sz w:val="32"/>
        </w:rPr>
        <w:t>有效处置回应</w:t>
      </w:r>
      <w:r>
        <w:rPr>
          <w:rFonts w:eastAsia="方正仿宋_GBK"/>
          <w:kern w:val="0"/>
          <w:sz w:val="32"/>
          <w:szCs w:val="32"/>
        </w:rPr>
        <w:t>。</w:t>
      </w:r>
      <w:r>
        <w:rPr>
          <w:rFonts w:eastAsia="方正仿宋_GBK"/>
          <w:bCs/>
          <w:kern w:val="0"/>
          <w:sz w:val="32"/>
          <w:szCs w:val="32"/>
        </w:rPr>
        <w:t>加快落实</w:t>
      </w:r>
      <w:r>
        <w:rPr>
          <w:rFonts w:eastAsia="方正仿宋_GBK"/>
          <w:kern w:val="0"/>
          <w:sz w:val="32"/>
          <w:szCs w:val="32"/>
        </w:rPr>
        <w:t>退休</w:t>
      </w:r>
      <w:r>
        <w:rPr>
          <w:rFonts w:eastAsia="方正仿宋_GBK"/>
          <w:kern w:val="0"/>
          <w:sz w:val="32"/>
          <w:szCs w:val="32"/>
        </w:rPr>
        <w:t>“</w:t>
      </w:r>
      <w:r>
        <w:rPr>
          <w:rFonts w:eastAsia="方正仿宋_GBK"/>
          <w:kern w:val="0"/>
          <w:sz w:val="32"/>
          <w:szCs w:val="32"/>
        </w:rPr>
        <w:t>一件事</w:t>
      </w:r>
      <w:r>
        <w:rPr>
          <w:rFonts w:eastAsia="方正仿宋_GBK"/>
          <w:kern w:val="0"/>
          <w:sz w:val="32"/>
          <w:szCs w:val="32"/>
        </w:rPr>
        <w:t>”</w:t>
      </w:r>
      <w:r>
        <w:rPr>
          <w:rFonts w:eastAsia="方正仿宋_GBK"/>
          <w:kern w:val="0"/>
          <w:sz w:val="32"/>
          <w:szCs w:val="32"/>
        </w:rPr>
        <w:t>、就业困难认定和补贴</w:t>
      </w:r>
      <w:r>
        <w:rPr>
          <w:rFonts w:eastAsia="方正仿宋_GBK"/>
          <w:kern w:val="0"/>
          <w:sz w:val="32"/>
          <w:szCs w:val="32"/>
        </w:rPr>
        <w:t>“</w:t>
      </w:r>
      <w:r>
        <w:rPr>
          <w:rFonts w:eastAsia="方正仿宋_GBK"/>
          <w:kern w:val="0"/>
          <w:sz w:val="32"/>
          <w:szCs w:val="32"/>
        </w:rPr>
        <w:t>一件事</w:t>
      </w:r>
      <w:r>
        <w:rPr>
          <w:rFonts w:eastAsia="方正仿宋_GBK"/>
          <w:kern w:val="0"/>
          <w:sz w:val="32"/>
          <w:szCs w:val="32"/>
        </w:rPr>
        <w:t>”</w:t>
      </w:r>
      <w:r>
        <w:rPr>
          <w:rFonts w:eastAsia="方正仿宋_GBK"/>
          <w:kern w:val="0"/>
          <w:sz w:val="32"/>
          <w:szCs w:val="32"/>
        </w:rPr>
        <w:t>、社保卡居民服务</w:t>
      </w:r>
      <w:r>
        <w:rPr>
          <w:rFonts w:eastAsia="方正仿宋_GBK"/>
          <w:kern w:val="0"/>
          <w:sz w:val="32"/>
          <w:szCs w:val="32"/>
        </w:rPr>
        <w:t>“</w:t>
      </w:r>
      <w:r>
        <w:rPr>
          <w:rFonts w:eastAsia="方正仿宋_GBK"/>
          <w:kern w:val="0"/>
          <w:sz w:val="32"/>
          <w:szCs w:val="32"/>
        </w:rPr>
        <w:t>一件事</w:t>
      </w:r>
      <w:r>
        <w:rPr>
          <w:rFonts w:eastAsia="方正仿宋_GBK"/>
          <w:kern w:val="0"/>
          <w:sz w:val="32"/>
          <w:szCs w:val="32"/>
        </w:rPr>
        <w:t>”</w:t>
      </w:r>
      <w:r>
        <w:rPr>
          <w:rFonts w:eastAsia="方正仿宋_GBK"/>
          <w:kern w:val="0"/>
          <w:sz w:val="32"/>
          <w:szCs w:val="32"/>
        </w:rPr>
        <w:t>等民生事项</w:t>
      </w:r>
      <w:r>
        <w:rPr>
          <w:rFonts w:eastAsia="方正仿宋_GBK" w:hint="eastAsia"/>
          <w:kern w:val="0"/>
          <w:sz w:val="32"/>
          <w:szCs w:val="32"/>
        </w:rPr>
        <w:t>及“基层高频事项一平台办理”相关改革任务</w:t>
      </w:r>
      <w:r>
        <w:rPr>
          <w:rFonts w:eastAsia="方正仿宋_GBK"/>
          <w:kern w:val="0"/>
          <w:sz w:val="32"/>
          <w:szCs w:val="32"/>
        </w:rPr>
        <w:t>，</w:t>
      </w:r>
      <w:r>
        <w:rPr>
          <w:rFonts w:eastAsia="方正仿宋_GBK"/>
          <w:sz w:val="32"/>
          <w:szCs w:val="32"/>
        </w:rPr>
        <w:t>规范线上线下</w:t>
      </w:r>
      <w:r>
        <w:rPr>
          <w:rFonts w:eastAsia="方正仿宋_GBK"/>
          <w:sz w:val="32"/>
          <w:szCs w:val="32"/>
        </w:rPr>
        <w:t>“</w:t>
      </w:r>
      <w:r>
        <w:rPr>
          <w:rFonts w:eastAsia="方正仿宋_GBK"/>
          <w:sz w:val="32"/>
          <w:szCs w:val="32"/>
        </w:rPr>
        <w:t>一体化</w:t>
      </w:r>
      <w:r>
        <w:rPr>
          <w:rFonts w:eastAsia="方正仿宋_GBK"/>
          <w:sz w:val="32"/>
          <w:szCs w:val="32"/>
        </w:rPr>
        <w:t>”</w:t>
      </w:r>
      <w:r>
        <w:rPr>
          <w:rFonts w:eastAsia="方正仿宋_GBK"/>
          <w:sz w:val="32"/>
          <w:szCs w:val="32"/>
        </w:rPr>
        <w:t>服务标准</w:t>
      </w:r>
      <w:r>
        <w:rPr>
          <w:rFonts w:eastAsia="方正仿宋_GBK"/>
          <w:kern w:val="0"/>
          <w:sz w:val="32"/>
          <w:szCs w:val="32"/>
        </w:rPr>
        <w:t>。推进</w:t>
      </w:r>
      <w:r>
        <w:rPr>
          <w:rFonts w:eastAsia="方正仿宋_GBK"/>
          <w:kern w:val="0"/>
          <w:sz w:val="32"/>
          <w:szCs w:val="32"/>
        </w:rPr>
        <w:t>“</w:t>
      </w:r>
      <w:r>
        <w:rPr>
          <w:rFonts w:eastAsia="方正仿宋_GBK"/>
          <w:kern w:val="0"/>
          <w:sz w:val="32"/>
          <w:szCs w:val="32"/>
        </w:rPr>
        <w:t>智慧人社</w:t>
      </w:r>
      <w:r>
        <w:rPr>
          <w:rFonts w:eastAsia="方正仿宋_GBK"/>
          <w:kern w:val="0"/>
          <w:sz w:val="32"/>
          <w:szCs w:val="32"/>
        </w:rPr>
        <w:t>”</w:t>
      </w:r>
      <w:r>
        <w:rPr>
          <w:rFonts w:eastAsia="方正仿宋_GBK"/>
          <w:kern w:val="0"/>
          <w:sz w:val="32"/>
          <w:szCs w:val="32"/>
        </w:rPr>
        <w:t>建设，加强跨区域一体化合作，促进更多事项</w:t>
      </w:r>
      <w:r>
        <w:rPr>
          <w:rFonts w:eastAsia="方正仿宋_GBK"/>
          <w:sz w:val="32"/>
          <w:szCs w:val="32"/>
        </w:rPr>
        <w:t>“</w:t>
      </w:r>
      <w:r>
        <w:rPr>
          <w:rFonts w:eastAsia="方正仿宋_GBK"/>
          <w:sz w:val="32"/>
          <w:szCs w:val="32"/>
        </w:rPr>
        <w:t>一网通办</w:t>
      </w:r>
      <w:r>
        <w:rPr>
          <w:rFonts w:eastAsia="方正仿宋_GBK"/>
          <w:sz w:val="32"/>
          <w:szCs w:val="32"/>
        </w:rPr>
        <w:t>”“</w:t>
      </w:r>
      <w:r>
        <w:rPr>
          <w:rFonts w:eastAsia="方正仿宋_GBK"/>
          <w:sz w:val="32"/>
          <w:szCs w:val="32"/>
        </w:rPr>
        <w:t>跨省通办</w:t>
      </w:r>
      <w:r>
        <w:rPr>
          <w:rFonts w:eastAsia="方正仿宋_GBK"/>
          <w:sz w:val="32"/>
          <w:szCs w:val="32"/>
        </w:rPr>
        <w:t>”“</w:t>
      </w:r>
      <w:r>
        <w:rPr>
          <w:rFonts w:eastAsia="方正仿宋_GBK"/>
          <w:sz w:val="32"/>
          <w:szCs w:val="32"/>
        </w:rPr>
        <w:t>跨区域快办</w:t>
      </w:r>
      <w:r>
        <w:rPr>
          <w:rFonts w:eastAsia="方正仿宋_GBK"/>
          <w:sz w:val="32"/>
          <w:szCs w:val="32"/>
        </w:rPr>
        <w:t>”</w:t>
      </w:r>
      <w:r>
        <w:rPr>
          <w:rFonts w:eastAsia="方正仿宋_GBK"/>
          <w:sz w:val="32"/>
          <w:szCs w:val="32"/>
        </w:rPr>
        <w:t>。</w:t>
      </w:r>
      <w:r>
        <w:rPr>
          <w:rFonts w:eastAsia="方正仿宋_GBK"/>
          <w:kern w:val="0"/>
          <w:sz w:val="32"/>
          <w:szCs w:val="32"/>
        </w:rPr>
        <w:t>坚持和加强党对人社工作的领导，</w:t>
      </w:r>
      <w:r>
        <w:rPr>
          <w:rFonts w:eastAsia="方正仿宋_GBK" w:hint="eastAsia"/>
          <w:kern w:val="0"/>
          <w:sz w:val="32"/>
          <w:szCs w:val="32"/>
        </w:rPr>
        <w:t>巩固拓展</w:t>
      </w:r>
      <w:r>
        <w:rPr>
          <w:rFonts w:eastAsia="方正仿宋_GBK"/>
          <w:kern w:val="0"/>
          <w:sz w:val="32"/>
          <w:szCs w:val="32"/>
        </w:rPr>
        <w:t>党纪学习教育</w:t>
      </w:r>
      <w:r>
        <w:rPr>
          <w:rFonts w:eastAsia="方正仿宋_GBK" w:hint="eastAsia"/>
          <w:kern w:val="0"/>
          <w:sz w:val="32"/>
          <w:szCs w:val="32"/>
        </w:rPr>
        <w:t>成果，</w:t>
      </w:r>
      <w:r>
        <w:rPr>
          <w:rFonts w:eastAsia="方正仿宋_GBK"/>
          <w:kern w:val="0"/>
          <w:sz w:val="32"/>
          <w:szCs w:val="32"/>
        </w:rPr>
        <w:t>持续改进作风优化行风，</w:t>
      </w:r>
      <w:r>
        <w:rPr>
          <w:rFonts w:eastAsia="方正仿宋_GBK" w:hint="eastAsia"/>
          <w:kern w:val="0"/>
          <w:sz w:val="32"/>
          <w:szCs w:val="32"/>
        </w:rPr>
        <w:t>抓实抓好人社领域</w:t>
      </w:r>
      <w:r>
        <w:rPr>
          <w:rFonts w:eastAsia="方正仿宋_GBK"/>
          <w:sz w:val="32"/>
          <w:szCs w:val="32"/>
        </w:rPr>
        <w:t>风险防控，深入开展岗位技能练兵比武，</w:t>
      </w:r>
      <w:r>
        <w:rPr>
          <w:rFonts w:eastAsia="方正仿宋_GBK"/>
          <w:kern w:val="0"/>
          <w:sz w:val="32"/>
          <w:szCs w:val="32"/>
        </w:rPr>
        <w:t>不断提升干部职工能力作风</w:t>
      </w:r>
      <w:r>
        <w:rPr>
          <w:rFonts w:eastAsia="方正仿宋_GBK" w:hint="eastAsia"/>
          <w:kern w:val="0"/>
          <w:sz w:val="32"/>
          <w:szCs w:val="32"/>
        </w:rPr>
        <w:t>，为事业发展提供坚实保障</w:t>
      </w:r>
      <w:r>
        <w:rPr>
          <w:rFonts w:eastAsia="方正仿宋_GBK"/>
          <w:kern w:val="0"/>
          <w:sz w:val="32"/>
          <w:szCs w:val="32"/>
        </w:rPr>
        <w:t>。</w:t>
      </w:r>
    </w:p>
    <w:p w14:paraId="357A2F4A" w14:textId="77777777" w:rsidR="00260726" w:rsidRDefault="00E936D8">
      <w:pPr>
        <w:widowControl/>
        <w:adjustRightInd w:val="0"/>
        <w:snapToGrid w:val="0"/>
        <w:spacing w:line="560" w:lineRule="exact"/>
        <w:ind w:firstLineChars="200" w:firstLine="640"/>
        <w:rPr>
          <w:rFonts w:eastAsia="方正黑体_GBK"/>
          <w:color w:val="000000"/>
          <w:kern w:val="0"/>
          <w:sz w:val="32"/>
          <w:szCs w:val="32"/>
        </w:rPr>
      </w:pPr>
      <w:r>
        <w:rPr>
          <w:rFonts w:eastAsia="方正黑体_GBK"/>
          <w:color w:val="000000"/>
          <w:kern w:val="0"/>
          <w:sz w:val="32"/>
          <w:szCs w:val="32"/>
        </w:rPr>
        <w:t>六、评价工作开展情况及其他需说明的情况</w:t>
      </w:r>
    </w:p>
    <w:p w14:paraId="31C29FAB" w14:textId="3298D8A1" w:rsidR="00260726" w:rsidRDefault="00E936D8">
      <w:pPr>
        <w:adjustRightInd w:val="0"/>
        <w:snapToGrid w:val="0"/>
        <w:spacing w:line="560" w:lineRule="exact"/>
        <w:ind w:firstLineChars="200" w:firstLine="640"/>
        <w:rPr>
          <w:rFonts w:eastAsia="仿宋"/>
          <w:kern w:val="0"/>
          <w:sz w:val="32"/>
          <w:szCs w:val="32"/>
          <w:lang w:val="zh-CN" w:bidi="en-US"/>
        </w:rPr>
      </w:pPr>
      <w:r>
        <w:rPr>
          <w:rFonts w:eastAsia="仿宋"/>
          <w:kern w:val="0"/>
          <w:sz w:val="32"/>
          <w:szCs w:val="32"/>
          <w:lang w:val="zh-CN" w:bidi="en-US"/>
        </w:rPr>
        <w:t>我单位年度评价工作井然有序，无其他需说明的情况。</w:t>
      </w:r>
    </w:p>
    <w:p w14:paraId="2CBB6B83" w14:textId="77777777" w:rsidR="00CD76D8" w:rsidRDefault="00CD76D8">
      <w:pPr>
        <w:adjustRightInd w:val="0"/>
        <w:snapToGrid w:val="0"/>
        <w:spacing w:line="560" w:lineRule="exact"/>
        <w:ind w:firstLineChars="200" w:firstLine="640"/>
        <w:rPr>
          <w:rFonts w:eastAsia="仿宋"/>
          <w:kern w:val="0"/>
          <w:sz w:val="32"/>
          <w:szCs w:val="32"/>
          <w:lang w:val="zh-CN" w:bidi="en-US"/>
        </w:rPr>
      </w:pPr>
    </w:p>
    <w:p w14:paraId="762AA68C" w14:textId="77777777" w:rsidR="00260726" w:rsidRDefault="00E936D8">
      <w:pPr>
        <w:pStyle w:val="aa"/>
        <w:adjustRightInd w:val="0"/>
        <w:snapToGrid w:val="0"/>
        <w:spacing w:line="560" w:lineRule="exact"/>
        <w:ind w:firstLine="640"/>
        <w:rPr>
          <w:rFonts w:eastAsia="仿宋"/>
          <w:color w:val="000000"/>
          <w:sz w:val="32"/>
          <w:szCs w:val="32"/>
        </w:rPr>
      </w:pPr>
      <w:r>
        <w:rPr>
          <w:rFonts w:eastAsia="方正仿宋_GBK"/>
          <w:sz w:val="32"/>
          <w:szCs w:val="32"/>
          <w:lang w:val="zh-CN" w:bidi="en-US"/>
        </w:rPr>
        <w:t>附件：指标体系得分情况</w:t>
      </w:r>
    </w:p>
    <w:p w14:paraId="64E374DB" w14:textId="77777777" w:rsidR="00260726" w:rsidRDefault="00260726">
      <w:pPr>
        <w:adjustRightInd w:val="0"/>
        <w:snapToGrid w:val="0"/>
        <w:spacing w:line="300" w:lineRule="auto"/>
        <w:ind w:firstLineChars="200" w:firstLine="640"/>
        <w:rPr>
          <w:rFonts w:eastAsia="仿宋"/>
          <w:color w:val="000000"/>
          <w:kern w:val="0"/>
          <w:sz w:val="32"/>
          <w:szCs w:val="32"/>
        </w:rPr>
      </w:pPr>
    </w:p>
    <w:p w14:paraId="76E3AF28" w14:textId="77777777" w:rsidR="00260726" w:rsidRDefault="00260726">
      <w:pPr>
        <w:adjustRightInd w:val="0"/>
        <w:snapToGrid w:val="0"/>
        <w:spacing w:line="300" w:lineRule="auto"/>
        <w:ind w:firstLineChars="200" w:firstLine="640"/>
        <w:rPr>
          <w:rFonts w:eastAsia="仿宋"/>
          <w:color w:val="000000"/>
          <w:kern w:val="0"/>
          <w:sz w:val="32"/>
          <w:szCs w:val="32"/>
        </w:rPr>
        <w:sectPr w:rsidR="00260726">
          <w:footerReference w:type="default" r:id="rId6"/>
          <w:pgSz w:w="11906" w:h="16838"/>
          <w:pgMar w:top="2098" w:right="1588" w:bottom="1701" w:left="1588" w:header="851" w:footer="992" w:gutter="0"/>
          <w:cols w:space="720"/>
          <w:docGrid w:type="lines" w:linePitch="312"/>
        </w:sectPr>
      </w:pPr>
    </w:p>
    <w:p w14:paraId="2A21C2BC" w14:textId="77777777" w:rsidR="00260726" w:rsidRDefault="00E936D8">
      <w:pPr>
        <w:pStyle w:val="aa"/>
        <w:adjustRightInd w:val="0"/>
        <w:snapToGrid w:val="0"/>
        <w:spacing w:line="300" w:lineRule="auto"/>
        <w:ind w:firstLineChars="0" w:firstLine="0"/>
        <w:jc w:val="left"/>
        <w:rPr>
          <w:rFonts w:ascii="方正黑体_GBK" w:eastAsia="方正黑体_GBK" w:hAnsi="方正黑体_GBK" w:cs="方正黑体_GBK"/>
          <w:sz w:val="32"/>
          <w:szCs w:val="32"/>
          <w:lang w:val="zh-CN" w:bidi="en-US"/>
        </w:rPr>
      </w:pPr>
      <w:r>
        <w:rPr>
          <w:rFonts w:ascii="方正黑体_GBK" w:eastAsia="方正黑体_GBK" w:hAnsi="方正黑体_GBK" w:cs="方正黑体_GBK" w:hint="eastAsia"/>
          <w:sz w:val="32"/>
          <w:szCs w:val="32"/>
          <w:lang w:val="zh-CN" w:bidi="en-US"/>
        </w:rPr>
        <w:lastRenderedPageBreak/>
        <w:t>附件：</w:t>
      </w:r>
    </w:p>
    <w:p w14:paraId="512E9958" w14:textId="77777777" w:rsidR="00260726" w:rsidRDefault="00E936D8">
      <w:pPr>
        <w:pStyle w:val="aa"/>
        <w:adjustRightInd w:val="0"/>
        <w:snapToGrid w:val="0"/>
        <w:spacing w:line="300" w:lineRule="auto"/>
        <w:ind w:firstLineChars="0" w:firstLine="0"/>
        <w:jc w:val="center"/>
        <w:rPr>
          <w:rFonts w:eastAsia="方正小标宋_GBK"/>
          <w:color w:val="000000"/>
          <w:sz w:val="44"/>
          <w:szCs w:val="44"/>
        </w:rPr>
      </w:pPr>
      <w:r>
        <w:rPr>
          <w:rFonts w:eastAsia="方正小标宋_GBK"/>
          <w:sz w:val="44"/>
          <w:szCs w:val="44"/>
          <w:lang w:val="zh-CN" w:bidi="en-US"/>
        </w:rPr>
        <w:t>指标体系得分情况</w:t>
      </w:r>
    </w:p>
    <w:tbl>
      <w:tblPr>
        <w:tblW w:w="5189" w:type="pct"/>
        <w:tblLayout w:type="fixed"/>
        <w:tblLook w:val="04A0" w:firstRow="1" w:lastRow="0" w:firstColumn="1" w:lastColumn="0" w:noHBand="0" w:noVBand="1"/>
      </w:tblPr>
      <w:tblGrid>
        <w:gridCol w:w="774"/>
        <w:gridCol w:w="867"/>
        <w:gridCol w:w="1398"/>
        <w:gridCol w:w="837"/>
        <w:gridCol w:w="556"/>
        <w:gridCol w:w="6557"/>
        <w:gridCol w:w="2794"/>
        <w:gridCol w:w="692"/>
      </w:tblGrid>
      <w:tr w:rsidR="00260726" w14:paraId="441270A7" w14:textId="77777777">
        <w:trPr>
          <w:trHeight w:val="420"/>
        </w:trPr>
        <w:tc>
          <w:tcPr>
            <w:tcW w:w="267" w:type="pct"/>
            <w:tcBorders>
              <w:top w:val="single" w:sz="4" w:space="0" w:color="auto"/>
              <w:left w:val="single" w:sz="4" w:space="0" w:color="auto"/>
              <w:bottom w:val="single" w:sz="4" w:space="0" w:color="auto"/>
              <w:right w:val="single" w:sz="4" w:space="0" w:color="auto"/>
            </w:tcBorders>
            <w:noWrap/>
            <w:vAlign w:val="center"/>
          </w:tcPr>
          <w:p w14:paraId="6D67F51C" w14:textId="22112C82" w:rsidR="00260726" w:rsidRDefault="00E936D8">
            <w:pPr>
              <w:widowControl/>
              <w:adjustRightInd w:val="0"/>
              <w:snapToGrid w:val="0"/>
              <w:jc w:val="center"/>
              <w:rPr>
                <w:color w:val="000000"/>
                <w:kern w:val="0"/>
                <w:sz w:val="18"/>
                <w:szCs w:val="18"/>
              </w:rPr>
            </w:pPr>
            <w:bookmarkStart w:id="32" w:name="RANGE!A1:F55"/>
            <w:r>
              <w:rPr>
                <w:color w:val="000000"/>
                <w:kern w:val="0"/>
                <w:sz w:val="18"/>
                <w:szCs w:val="18"/>
              </w:rPr>
              <w:t>一级</w:t>
            </w:r>
            <w:r w:rsidR="00CD76D8">
              <w:rPr>
                <w:rFonts w:hint="eastAsia"/>
                <w:color w:val="000000"/>
                <w:kern w:val="0"/>
                <w:sz w:val="18"/>
                <w:szCs w:val="18"/>
              </w:rPr>
              <w:t xml:space="preserve"> </w:t>
            </w:r>
            <w:r>
              <w:rPr>
                <w:color w:val="000000"/>
                <w:kern w:val="0"/>
                <w:sz w:val="18"/>
                <w:szCs w:val="18"/>
              </w:rPr>
              <w:t>指标</w:t>
            </w:r>
            <w:bookmarkEnd w:id="32"/>
          </w:p>
        </w:tc>
        <w:tc>
          <w:tcPr>
            <w:tcW w:w="299" w:type="pct"/>
            <w:tcBorders>
              <w:top w:val="single" w:sz="4" w:space="0" w:color="auto"/>
              <w:left w:val="nil"/>
              <w:bottom w:val="single" w:sz="4" w:space="0" w:color="auto"/>
              <w:right w:val="single" w:sz="4" w:space="0" w:color="auto"/>
            </w:tcBorders>
            <w:vAlign w:val="center"/>
          </w:tcPr>
          <w:p w14:paraId="485CE57A" w14:textId="0D0E0B13" w:rsidR="00260726" w:rsidRDefault="00E936D8">
            <w:pPr>
              <w:widowControl/>
              <w:adjustRightInd w:val="0"/>
              <w:snapToGrid w:val="0"/>
              <w:jc w:val="center"/>
              <w:rPr>
                <w:color w:val="000000"/>
                <w:kern w:val="0"/>
                <w:sz w:val="18"/>
                <w:szCs w:val="18"/>
              </w:rPr>
            </w:pPr>
            <w:r>
              <w:rPr>
                <w:color w:val="000000"/>
                <w:kern w:val="0"/>
                <w:sz w:val="18"/>
                <w:szCs w:val="18"/>
              </w:rPr>
              <w:t>二级</w:t>
            </w:r>
            <w:r w:rsidR="00CD76D8">
              <w:rPr>
                <w:rFonts w:hint="eastAsia"/>
                <w:color w:val="000000"/>
                <w:kern w:val="0"/>
                <w:sz w:val="18"/>
                <w:szCs w:val="18"/>
              </w:rPr>
              <w:t xml:space="preserve">  </w:t>
            </w:r>
            <w:r>
              <w:rPr>
                <w:color w:val="000000"/>
                <w:kern w:val="0"/>
                <w:sz w:val="18"/>
                <w:szCs w:val="18"/>
              </w:rPr>
              <w:t>指标</w:t>
            </w:r>
          </w:p>
        </w:tc>
        <w:tc>
          <w:tcPr>
            <w:tcW w:w="483" w:type="pct"/>
            <w:tcBorders>
              <w:top w:val="single" w:sz="4" w:space="0" w:color="auto"/>
              <w:left w:val="nil"/>
              <w:bottom w:val="single" w:sz="4" w:space="0" w:color="auto"/>
              <w:right w:val="single" w:sz="4" w:space="0" w:color="auto"/>
            </w:tcBorders>
            <w:vAlign w:val="center"/>
          </w:tcPr>
          <w:p w14:paraId="220707D1" w14:textId="77777777" w:rsidR="00260726" w:rsidRDefault="00E936D8">
            <w:pPr>
              <w:widowControl/>
              <w:adjustRightInd w:val="0"/>
              <w:snapToGrid w:val="0"/>
              <w:jc w:val="center"/>
              <w:rPr>
                <w:color w:val="000000"/>
                <w:kern w:val="0"/>
                <w:sz w:val="18"/>
                <w:szCs w:val="18"/>
              </w:rPr>
            </w:pPr>
            <w:r>
              <w:rPr>
                <w:color w:val="000000"/>
                <w:kern w:val="0"/>
                <w:sz w:val="18"/>
                <w:szCs w:val="18"/>
              </w:rPr>
              <w:t>三级指标</w:t>
            </w:r>
          </w:p>
        </w:tc>
        <w:tc>
          <w:tcPr>
            <w:tcW w:w="288" w:type="pct"/>
            <w:tcBorders>
              <w:top w:val="single" w:sz="4" w:space="0" w:color="auto"/>
              <w:left w:val="nil"/>
              <w:bottom w:val="single" w:sz="4" w:space="0" w:color="auto"/>
              <w:right w:val="single" w:sz="4" w:space="0" w:color="auto"/>
            </w:tcBorders>
            <w:vAlign w:val="center"/>
          </w:tcPr>
          <w:p w14:paraId="24FE4625" w14:textId="77777777" w:rsidR="00260726" w:rsidRDefault="00E936D8">
            <w:pPr>
              <w:widowControl/>
              <w:adjustRightInd w:val="0"/>
              <w:snapToGrid w:val="0"/>
              <w:jc w:val="center"/>
              <w:rPr>
                <w:color w:val="000000"/>
                <w:kern w:val="0"/>
                <w:sz w:val="18"/>
                <w:szCs w:val="18"/>
              </w:rPr>
            </w:pPr>
            <w:r>
              <w:rPr>
                <w:color w:val="000000"/>
                <w:kern w:val="0"/>
                <w:sz w:val="18"/>
                <w:szCs w:val="18"/>
              </w:rPr>
              <w:t>全年指标值</w:t>
            </w:r>
          </w:p>
        </w:tc>
        <w:tc>
          <w:tcPr>
            <w:tcW w:w="192" w:type="pct"/>
            <w:tcBorders>
              <w:top w:val="single" w:sz="4" w:space="0" w:color="auto"/>
              <w:left w:val="nil"/>
              <w:bottom w:val="single" w:sz="4" w:space="0" w:color="auto"/>
              <w:right w:val="single" w:sz="4" w:space="0" w:color="auto"/>
            </w:tcBorders>
            <w:vAlign w:val="center"/>
          </w:tcPr>
          <w:p w14:paraId="0FB7527A" w14:textId="77777777" w:rsidR="00260726" w:rsidRDefault="00E936D8">
            <w:pPr>
              <w:widowControl/>
              <w:adjustRightInd w:val="0"/>
              <w:snapToGrid w:val="0"/>
              <w:jc w:val="center"/>
              <w:rPr>
                <w:color w:val="000000"/>
                <w:kern w:val="0"/>
                <w:sz w:val="18"/>
                <w:szCs w:val="18"/>
              </w:rPr>
            </w:pPr>
            <w:r>
              <w:rPr>
                <w:color w:val="000000"/>
                <w:kern w:val="0"/>
                <w:sz w:val="18"/>
                <w:szCs w:val="18"/>
              </w:rPr>
              <w:t>权重</w:t>
            </w:r>
          </w:p>
        </w:tc>
        <w:tc>
          <w:tcPr>
            <w:tcW w:w="2264" w:type="pct"/>
            <w:tcBorders>
              <w:top w:val="single" w:sz="4" w:space="0" w:color="auto"/>
              <w:left w:val="nil"/>
              <w:bottom w:val="single" w:sz="4" w:space="0" w:color="auto"/>
              <w:right w:val="single" w:sz="4" w:space="0" w:color="auto"/>
            </w:tcBorders>
            <w:noWrap/>
            <w:vAlign w:val="center"/>
          </w:tcPr>
          <w:p w14:paraId="21B396E3" w14:textId="77777777" w:rsidR="00260726" w:rsidRDefault="00E936D8">
            <w:pPr>
              <w:widowControl/>
              <w:adjustRightInd w:val="0"/>
              <w:snapToGrid w:val="0"/>
              <w:jc w:val="center"/>
              <w:rPr>
                <w:color w:val="000000"/>
                <w:kern w:val="0"/>
                <w:sz w:val="18"/>
                <w:szCs w:val="18"/>
              </w:rPr>
            </w:pPr>
            <w:r>
              <w:rPr>
                <w:color w:val="000000"/>
                <w:kern w:val="0"/>
                <w:sz w:val="18"/>
                <w:szCs w:val="18"/>
              </w:rPr>
              <w:t>评分标准</w:t>
            </w:r>
          </w:p>
        </w:tc>
        <w:tc>
          <w:tcPr>
            <w:tcW w:w="964" w:type="pct"/>
            <w:tcBorders>
              <w:top w:val="single" w:sz="4" w:space="0" w:color="auto"/>
              <w:left w:val="nil"/>
              <w:bottom w:val="single" w:sz="4" w:space="0" w:color="auto"/>
              <w:right w:val="single" w:sz="4" w:space="0" w:color="auto"/>
            </w:tcBorders>
            <w:vAlign w:val="center"/>
          </w:tcPr>
          <w:p w14:paraId="04011F47" w14:textId="77777777" w:rsidR="00260726" w:rsidRDefault="00E936D8">
            <w:pPr>
              <w:widowControl/>
              <w:adjustRightInd w:val="0"/>
              <w:snapToGrid w:val="0"/>
              <w:jc w:val="center"/>
              <w:rPr>
                <w:color w:val="000000"/>
                <w:kern w:val="0"/>
                <w:sz w:val="18"/>
                <w:szCs w:val="18"/>
              </w:rPr>
            </w:pPr>
            <w:r>
              <w:rPr>
                <w:color w:val="000000"/>
                <w:kern w:val="0"/>
                <w:sz w:val="18"/>
                <w:szCs w:val="18"/>
              </w:rPr>
              <w:t>完成情况</w:t>
            </w:r>
          </w:p>
        </w:tc>
        <w:tc>
          <w:tcPr>
            <w:tcW w:w="239" w:type="pct"/>
            <w:tcBorders>
              <w:top w:val="single" w:sz="4" w:space="0" w:color="auto"/>
              <w:left w:val="nil"/>
              <w:bottom w:val="single" w:sz="4" w:space="0" w:color="auto"/>
              <w:right w:val="single" w:sz="4" w:space="0" w:color="auto"/>
            </w:tcBorders>
            <w:vAlign w:val="center"/>
          </w:tcPr>
          <w:p w14:paraId="313DB0A6" w14:textId="77777777" w:rsidR="00260726" w:rsidRDefault="00E936D8">
            <w:pPr>
              <w:widowControl/>
              <w:adjustRightInd w:val="0"/>
              <w:snapToGrid w:val="0"/>
              <w:jc w:val="center"/>
              <w:rPr>
                <w:color w:val="000000"/>
                <w:kern w:val="0"/>
                <w:sz w:val="18"/>
                <w:szCs w:val="18"/>
              </w:rPr>
            </w:pPr>
            <w:r>
              <w:rPr>
                <w:color w:val="000000"/>
                <w:kern w:val="0"/>
                <w:sz w:val="18"/>
                <w:szCs w:val="18"/>
              </w:rPr>
              <w:t>自评得分</w:t>
            </w:r>
          </w:p>
        </w:tc>
      </w:tr>
      <w:tr w:rsidR="00260726" w14:paraId="39C371BC" w14:textId="77777777">
        <w:trPr>
          <w:trHeight w:val="798"/>
        </w:trPr>
        <w:tc>
          <w:tcPr>
            <w:tcW w:w="267" w:type="pct"/>
            <w:vMerge w:val="restart"/>
            <w:tcBorders>
              <w:top w:val="nil"/>
              <w:left w:val="single" w:sz="4" w:space="0" w:color="auto"/>
              <w:bottom w:val="single" w:sz="4" w:space="0" w:color="auto"/>
              <w:right w:val="single" w:sz="4" w:space="0" w:color="auto"/>
            </w:tcBorders>
            <w:noWrap/>
            <w:vAlign w:val="center"/>
          </w:tcPr>
          <w:p w14:paraId="0FDF1A0B" w14:textId="77777777" w:rsidR="00260726" w:rsidRDefault="00E936D8">
            <w:pPr>
              <w:widowControl/>
              <w:adjustRightInd w:val="0"/>
              <w:snapToGrid w:val="0"/>
              <w:jc w:val="center"/>
              <w:rPr>
                <w:color w:val="000000"/>
                <w:kern w:val="0"/>
                <w:sz w:val="18"/>
                <w:szCs w:val="18"/>
              </w:rPr>
            </w:pPr>
            <w:r>
              <w:rPr>
                <w:color w:val="000000"/>
                <w:kern w:val="0"/>
                <w:sz w:val="18"/>
                <w:szCs w:val="18"/>
              </w:rPr>
              <w:t>决策</w:t>
            </w:r>
          </w:p>
        </w:tc>
        <w:tc>
          <w:tcPr>
            <w:tcW w:w="299" w:type="pct"/>
            <w:vMerge w:val="restart"/>
            <w:tcBorders>
              <w:top w:val="nil"/>
              <w:left w:val="single" w:sz="4" w:space="0" w:color="auto"/>
              <w:bottom w:val="single" w:sz="4" w:space="0" w:color="auto"/>
              <w:right w:val="single" w:sz="4" w:space="0" w:color="auto"/>
            </w:tcBorders>
            <w:vAlign w:val="center"/>
          </w:tcPr>
          <w:p w14:paraId="1A9395F5" w14:textId="77777777" w:rsidR="00260726" w:rsidRDefault="00E936D8">
            <w:pPr>
              <w:widowControl/>
              <w:adjustRightInd w:val="0"/>
              <w:snapToGrid w:val="0"/>
              <w:jc w:val="center"/>
              <w:rPr>
                <w:color w:val="000000"/>
                <w:kern w:val="0"/>
                <w:sz w:val="18"/>
                <w:szCs w:val="18"/>
              </w:rPr>
            </w:pPr>
            <w:r>
              <w:rPr>
                <w:color w:val="000000"/>
                <w:kern w:val="0"/>
                <w:sz w:val="18"/>
                <w:szCs w:val="18"/>
              </w:rPr>
              <w:t>计划制定</w:t>
            </w:r>
          </w:p>
        </w:tc>
        <w:tc>
          <w:tcPr>
            <w:tcW w:w="483" w:type="pct"/>
            <w:tcBorders>
              <w:top w:val="nil"/>
              <w:left w:val="nil"/>
              <w:bottom w:val="single" w:sz="4" w:space="0" w:color="auto"/>
              <w:right w:val="single" w:sz="4" w:space="0" w:color="auto"/>
            </w:tcBorders>
            <w:vAlign w:val="center"/>
          </w:tcPr>
          <w:p w14:paraId="765D68D7" w14:textId="77777777" w:rsidR="00260726" w:rsidRDefault="00E936D8">
            <w:pPr>
              <w:widowControl/>
              <w:adjustRightInd w:val="0"/>
              <w:snapToGrid w:val="0"/>
              <w:jc w:val="center"/>
              <w:rPr>
                <w:color w:val="000000"/>
                <w:kern w:val="0"/>
                <w:sz w:val="18"/>
                <w:szCs w:val="18"/>
              </w:rPr>
            </w:pPr>
            <w:r>
              <w:rPr>
                <w:color w:val="000000"/>
                <w:kern w:val="0"/>
                <w:sz w:val="18"/>
                <w:szCs w:val="18"/>
              </w:rPr>
              <w:t>决策程序的科学规范性</w:t>
            </w:r>
          </w:p>
        </w:tc>
        <w:tc>
          <w:tcPr>
            <w:tcW w:w="288" w:type="pct"/>
            <w:tcBorders>
              <w:top w:val="nil"/>
              <w:left w:val="nil"/>
              <w:bottom w:val="single" w:sz="4" w:space="0" w:color="auto"/>
              <w:right w:val="single" w:sz="4" w:space="0" w:color="auto"/>
            </w:tcBorders>
            <w:vAlign w:val="center"/>
          </w:tcPr>
          <w:p w14:paraId="20C069E5" w14:textId="77777777" w:rsidR="00260726" w:rsidRDefault="00E936D8">
            <w:pPr>
              <w:widowControl/>
              <w:adjustRightInd w:val="0"/>
              <w:snapToGrid w:val="0"/>
              <w:jc w:val="center"/>
              <w:rPr>
                <w:color w:val="000000"/>
                <w:kern w:val="0"/>
                <w:sz w:val="18"/>
                <w:szCs w:val="18"/>
              </w:rPr>
            </w:pPr>
            <w:r>
              <w:rPr>
                <w:color w:val="000000"/>
                <w:kern w:val="0"/>
                <w:sz w:val="18"/>
                <w:szCs w:val="18"/>
              </w:rPr>
              <w:t>科学规范</w:t>
            </w:r>
          </w:p>
        </w:tc>
        <w:tc>
          <w:tcPr>
            <w:tcW w:w="192" w:type="pct"/>
            <w:tcBorders>
              <w:top w:val="nil"/>
              <w:left w:val="nil"/>
              <w:bottom w:val="single" w:sz="4" w:space="0" w:color="auto"/>
              <w:right w:val="single" w:sz="4" w:space="0" w:color="auto"/>
            </w:tcBorders>
            <w:vAlign w:val="center"/>
          </w:tcPr>
          <w:p w14:paraId="1C464647"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c>
          <w:tcPr>
            <w:tcW w:w="2264" w:type="pct"/>
            <w:tcBorders>
              <w:top w:val="nil"/>
              <w:left w:val="nil"/>
              <w:bottom w:val="single" w:sz="4" w:space="0" w:color="auto"/>
              <w:right w:val="single" w:sz="4" w:space="0" w:color="auto"/>
            </w:tcBorders>
            <w:noWrap/>
            <w:vAlign w:val="center"/>
          </w:tcPr>
          <w:p w14:paraId="43A52988"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3</w:t>
            </w:r>
            <w:r>
              <w:rPr>
                <w:color w:val="000000"/>
                <w:sz w:val="18"/>
                <w:szCs w:val="18"/>
              </w:rPr>
              <w:t>项，分别为：</w:t>
            </w:r>
            <w:r>
              <w:rPr>
                <w:color w:val="000000"/>
                <w:sz w:val="18"/>
                <w:szCs w:val="18"/>
              </w:rPr>
              <w:t>1.</w:t>
            </w:r>
            <w:r>
              <w:rPr>
                <w:color w:val="000000"/>
                <w:sz w:val="18"/>
                <w:szCs w:val="18"/>
              </w:rPr>
              <w:t>部门建立了关于重大经济活动、重大资金安排的决策制度，得</w:t>
            </w:r>
            <w:r>
              <w:rPr>
                <w:color w:val="000000"/>
                <w:sz w:val="18"/>
                <w:szCs w:val="18"/>
              </w:rPr>
              <w:t>1</w:t>
            </w:r>
            <w:r>
              <w:rPr>
                <w:color w:val="000000"/>
                <w:sz w:val="18"/>
                <w:szCs w:val="18"/>
              </w:rPr>
              <w:t>分，未建立不得分；</w:t>
            </w:r>
            <w:r>
              <w:rPr>
                <w:color w:val="000000"/>
                <w:sz w:val="18"/>
                <w:szCs w:val="18"/>
              </w:rPr>
              <w:t>2.</w:t>
            </w:r>
            <w:r>
              <w:rPr>
                <w:color w:val="000000"/>
                <w:sz w:val="18"/>
                <w:szCs w:val="18"/>
              </w:rPr>
              <w:t>决策制度科学可行，得</w:t>
            </w:r>
            <w:r>
              <w:rPr>
                <w:color w:val="000000"/>
                <w:sz w:val="18"/>
                <w:szCs w:val="18"/>
              </w:rPr>
              <w:t>1</w:t>
            </w:r>
            <w:r>
              <w:rPr>
                <w:color w:val="000000"/>
                <w:sz w:val="18"/>
                <w:szCs w:val="18"/>
              </w:rPr>
              <w:t>分，不可行不得分；</w:t>
            </w:r>
            <w:r>
              <w:rPr>
                <w:color w:val="000000"/>
                <w:sz w:val="18"/>
                <w:szCs w:val="18"/>
              </w:rPr>
              <w:t>3.</w:t>
            </w:r>
            <w:r>
              <w:rPr>
                <w:color w:val="000000"/>
                <w:sz w:val="18"/>
                <w:szCs w:val="18"/>
              </w:rPr>
              <w:t>上述决策流程设计规范合理，得</w:t>
            </w:r>
            <w:r>
              <w:rPr>
                <w:color w:val="000000"/>
                <w:sz w:val="18"/>
                <w:szCs w:val="18"/>
              </w:rPr>
              <w:t>1</w:t>
            </w:r>
            <w:r>
              <w:rPr>
                <w:color w:val="000000"/>
                <w:sz w:val="18"/>
                <w:szCs w:val="18"/>
              </w:rPr>
              <w:t>分，不合理不得分。</w:t>
            </w:r>
          </w:p>
        </w:tc>
        <w:tc>
          <w:tcPr>
            <w:tcW w:w="964" w:type="pct"/>
            <w:tcBorders>
              <w:top w:val="nil"/>
              <w:left w:val="nil"/>
              <w:bottom w:val="single" w:sz="4" w:space="0" w:color="auto"/>
              <w:right w:val="single" w:sz="4" w:space="0" w:color="auto"/>
            </w:tcBorders>
            <w:vAlign w:val="center"/>
          </w:tcPr>
          <w:p w14:paraId="0ADD935B" w14:textId="77777777" w:rsidR="00260726" w:rsidRDefault="00E936D8">
            <w:pPr>
              <w:widowControl/>
              <w:adjustRightInd w:val="0"/>
              <w:snapToGrid w:val="0"/>
              <w:jc w:val="left"/>
              <w:rPr>
                <w:color w:val="000000"/>
                <w:kern w:val="0"/>
                <w:sz w:val="18"/>
                <w:szCs w:val="18"/>
              </w:rPr>
            </w:pPr>
            <w:r>
              <w:rPr>
                <w:color w:val="000000"/>
                <w:kern w:val="0"/>
                <w:sz w:val="18"/>
                <w:szCs w:val="18"/>
              </w:rPr>
              <w:t>1.</w:t>
            </w:r>
            <w:r>
              <w:rPr>
                <w:color w:val="000000"/>
                <w:kern w:val="0"/>
                <w:sz w:val="18"/>
                <w:szCs w:val="18"/>
              </w:rPr>
              <w:t>部门建立了关于重大经济活动、重大资金安排的决策制度；</w:t>
            </w:r>
            <w:r>
              <w:rPr>
                <w:color w:val="000000"/>
                <w:kern w:val="0"/>
                <w:sz w:val="18"/>
                <w:szCs w:val="18"/>
              </w:rPr>
              <w:t>2.</w:t>
            </w:r>
            <w:r>
              <w:rPr>
                <w:color w:val="000000"/>
                <w:kern w:val="0"/>
                <w:sz w:val="18"/>
                <w:szCs w:val="18"/>
              </w:rPr>
              <w:t>决策制度科学可行；</w:t>
            </w:r>
            <w:r>
              <w:rPr>
                <w:color w:val="000000"/>
                <w:kern w:val="0"/>
                <w:sz w:val="18"/>
                <w:szCs w:val="18"/>
              </w:rPr>
              <w:t>3.</w:t>
            </w:r>
            <w:r>
              <w:rPr>
                <w:color w:val="000000"/>
                <w:kern w:val="0"/>
                <w:sz w:val="18"/>
                <w:szCs w:val="18"/>
              </w:rPr>
              <w:t>上述决策流程设计规范合理</w:t>
            </w:r>
          </w:p>
        </w:tc>
        <w:tc>
          <w:tcPr>
            <w:tcW w:w="239" w:type="pct"/>
            <w:tcBorders>
              <w:top w:val="nil"/>
              <w:left w:val="nil"/>
              <w:bottom w:val="single" w:sz="4" w:space="0" w:color="auto"/>
              <w:right w:val="single" w:sz="4" w:space="0" w:color="auto"/>
            </w:tcBorders>
            <w:vAlign w:val="center"/>
          </w:tcPr>
          <w:p w14:paraId="2B39D00B"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r>
      <w:tr w:rsidR="00260726" w14:paraId="5FABB759" w14:textId="77777777">
        <w:trPr>
          <w:trHeight w:val="1020"/>
        </w:trPr>
        <w:tc>
          <w:tcPr>
            <w:tcW w:w="267" w:type="pct"/>
            <w:vMerge/>
            <w:tcBorders>
              <w:top w:val="nil"/>
              <w:left w:val="single" w:sz="4" w:space="0" w:color="auto"/>
              <w:bottom w:val="single" w:sz="4" w:space="0" w:color="auto"/>
              <w:right w:val="single" w:sz="4" w:space="0" w:color="auto"/>
            </w:tcBorders>
            <w:vAlign w:val="center"/>
          </w:tcPr>
          <w:p w14:paraId="4041C948" w14:textId="77777777" w:rsidR="00260726" w:rsidRDefault="00260726">
            <w:pPr>
              <w:widowControl/>
              <w:adjustRightInd w:val="0"/>
              <w:snapToGrid w:val="0"/>
              <w:jc w:val="left"/>
              <w:rPr>
                <w:color w:val="000000"/>
                <w:kern w:val="0"/>
                <w:sz w:val="18"/>
                <w:szCs w:val="18"/>
              </w:rPr>
            </w:pPr>
          </w:p>
        </w:tc>
        <w:tc>
          <w:tcPr>
            <w:tcW w:w="299" w:type="pct"/>
            <w:vMerge/>
            <w:tcBorders>
              <w:top w:val="nil"/>
              <w:left w:val="single" w:sz="4" w:space="0" w:color="auto"/>
              <w:bottom w:val="single" w:sz="4" w:space="0" w:color="auto"/>
              <w:right w:val="single" w:sz="4" w:space="0" w:color="auto"/>
            </w:tcBorders>
            <w:vAlign w:val="center"/>
          </w:tcPr>
          <w:p w14:paraId="5E93EA66"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31BF10F1" w14:textId="77777777" w:rsidR="00260726" w:rsidRDefault="00E936D8">
            <w:pPr>
              <w:widowControl/>
              <w:adjustRightInd w:val="0"/>
              <w:snapToGrid w:val="0"/>
              <w:jc w:val="center"/>
              <w:rPr>
                <w:color w:val="000000"/>
                <w:kern w:val="0"/>
                <w:sz w:val="18"/>
                <w:szCs w:val="18"/>
              </w:rPr>
            </w:pPr>
            <w:r>
              <w:rPr>
                <w:color w:val="000000"/>
                <w:kern w:val="0"/>
                <w:sz w:val="18"/>
                <w:szCs w:val="18"/>
              </w:rPr>
              <w:t>中长期规划制定明确性</w:t>
            </w:r>
          </w:p>
        </w:tc>
        <w:tc>
          <w:tcPr>
            <w:tcW w:w="288" w:type="pct"/>
            <w:tcBorders>
              <w:top w:val="nil"/>
              <w:left w:val="nil"/>
              <w:bottom w:val="single" w:sz="4" w:space="0" w:color="auto"/>
              <w:right w:val="single" w:sz="4" w:space="0" w:color="auto"/>
            </w:tcBorders>
            <w:vAlign w:val="center"/>
          </w:tcPr>
          <w:p w14:paraId="2D2BB82B" w14:textId="77777777" w:rsidR="00260726" w:rsidRDefault="00E936D8">
            <w:pPr>
              <w:widowControl/>
              <w:adjustRightInd w:val="0"/>
              <w:snapToGrid w:val="0"/>
              <w:jc w:val="center"/>
              <w:rPr>
                <w:color w:val="000000"/>
                <w:kern w:val="0"/>
                <w:sz w:val="18"/>
                <w:szCs w:val="18"/>
              </w:rPr>
            </w:pPr>
            <w:r>
              <w:rPr>
                <w:color w:val="000000"/>
                <w:kern w:val="0"/>
                <w:sz w:val="18"/>
                <w:szCs w:val="18"/>
              </w:rPr>
              <w:t>明确</w:t>
            </w:r>
          </w:p>
        </w:tc>
        <w:tc>
          <w:tcPr>
            <w:tcW w:w="192" w:type="pct"/>
            <w:tcBorders>
              <w:top w:val="nil"/>
              <w:left w:val="nil"/>
              <w:bottom w:val="single" w:sz="4" w:space="0" w:color="auto"/>
              <w:right w:val="single" w:sz="4" w:space="0" w:color="auto"/>
            </w:tcBorders>
            <w:vAlign w:val="center"/>
          </w:tcPr>
          <w:p w14:paraId="0950CC06"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2F1506C6" w14:textId="77777777" w:rsidR="00260726" w:rsidRDefault="00E936D8">
            <w:pPr>
              <w:adjustRightInd w:val="0"/>
              <w:snapToGrid w:val="0"/>
              <w:rPr>
                <w:color w:val="000000"/>
                <w:sz w:val="18"/>
                <w:szCs w:val="18"/>
              </w:rPr>
            </w:pPr>
            <w:r>
              <w:rPr>
                <w:color w:val="000000"/>
                <w:sz w:val="18"/>
                <w:szCs w:val="18"/>
              </w:rPr>
              <w:t>制定有中长期发展目标，且部门中长期发展目标指向明确，符合部门未来工作的重点开展方向，具体内容明确且具有指导性，得</w:t>
            </w:r>
            <w:r>
              <w:rPr>
                <w:color w:val="000000"/>
                <w:sz w:val="18"/>
                <w:szCs w:val="18"/>
              </w:rPr>
              <w:t>2</w:t>
            </w:r>
            <w:r>
              <w:rPr>
                <w:color w:val="000000"/>
                <w:sz w:val="18"/>
                <w:szCs w:val="18"/>
              </w:rPr>
              <w:t>分；制定有中长期发展目标，但明确性不足，得</w:t>
            </w:r>
            <w:r>
              <w:rPr>
                <w:color w:val="000000"/>
                <w:sz w:val="18"/>
                <w:szCs w:val="18"/>
              </w:rPr>
              <w:t>1</w:t>
            </w:r>
            <w:r>
              <w:rPr>
                <w:color w:val="000000"/>
                <w:sz w:val="18"/>
                <w:szCs w:val="18"/>
              </w:rPr>
              <w:t>分；没有制定部门中长期发展目标或目标指向不明确，得</w:t>
            </w:r>
            <w:r>
              <w:rPr>
                <w:color w:val="000000"/>
                <w:sz w:val="18"/>
                <w:szCs w:val="18"/>
              </w:rPr>
              <w:t>0</w:t>
            </w:r>
            <w:r>
              <w:rPr>
                <w:color w:val="000000"/>
                <w:sz w:val="18"/>
                <w:szCs w:val="18"/>
              </w:rPr>
              <w:t>分。</w:t>
            </w:r>
          </w:p>
        </w:tc>
        <w:tc>
          <w:tcPr>
            <w:tcW w:w="964" w:type="pct"/>
            <w:tcBorders>
              <w:top w:val="nil"/>
              <w:left w:val="nil"/>
              <w:bottom w:val="single" w:sz="4" w:space="0" w:color="auto"/>
              <w:right w:val="single" w:sz="4" w:space="0" w:color="auto"/>
            </w:tcBorders>
            <w:vAlign w:val="center"/>
          </w:tcPr>
          <w:p w14:paraId="6B8BC7E8" w14:textId="77777777" w:rsidR="00260726" w:rsidRDefault="00E936D8">
            <w:pPr>
              <w:widowControl/>
              <w:adjustRightInd w:val="0"/>
              <w:snapToGrid w:val="0"/>
              <w:jc w:val="left"/>
              <w:rPr>
                <w:color w:val="000000"/>
                <w:kern w:val="0"/>
                <w:sz w:val="18"/>
                <w:szCs w:val="18"/>
              </w:rPr>
            </w:pPr>
            <w:r>
              <w:rPr>
                <w:color w:val="000000"/>
                <w:kern w:val="0"/>
                <w:sz w:val="18"/>
                <w:szCs w:val="18"/>
              </w:rPr>
              <w:t>有中长期发展目标，且部门中长期发展目标指向明确，符合部门未来工作的重点开展方向，具体内容明确且具有指导性。</w:t>
            </w:r>
          </w:p>
        </w:tc>
        <w:tc>
          <w:tcPr>
            <w:tcW w:w="239" w:type="pct"/>
            <w:tcBorders>
              <w:top w:val="nil"/>
              <w:left w:val="nil"/>
              <w:bottom w:val="single" w:sz="4" w:space="0" w:color="auto"/>
              <w:right w:val="single" w:sz="4" w:space="0" w:color="auto"/>
            </w:tcBorders>
            <w:vAlign w:val="center"/>
          </w:tcPr>
          <w:p w14:paraId="60135F01"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4A098D4B" w14:textId="77777777">
        <w:trPr>
          <w:trHeight w:val="90"/>
        </w:trPr>
        <w:tc>
          <w:tcPr>
            <w:tcW w:w="267" w:type="pct"/>
            <w:vMerge/>
            <w:tcBorders>
              <w:top w:val="nil"/>
              <w:left w:val="single" w:sz="4" w:space="0" w:color="auto"/>
              <w:bottom w:val="single" w:sz="4" w:space="0" w:color="auto"/>
              <w:right w:val="single" w:sz="4" w:space="0" w:color="auto"/>
            </w:tcBorders>
            <w:vAlign w:val="center"/>
          </w:tcPr>
          <w:p w14:paraId="0157F996" w14:textId="77777777" w:rsidR="00260726" w:rsidRDefault="00260726">
            <w:pPr>
              <w:widowControl/>
              <w:adjustRightInd w:val="0"/>
              <w:snapToGrid w:val="0"/>
              <w:jc w:val="left"/>
              <w:rPr>
                <w:color w:val="000000"/>
                <w:kern w:val="0"/>
                <w:sz w:val="18"/>
                <w:szCs w:val="18"/>
              </w:rPr>
            </w:pPr>
          </w:p>
        </w:tc>
        <w:tc>
          <w:tcPr>
            <w:tcW w:w="299" w:type="pct"/>
            <w:vMerge w:val="restart"/>
            <w:tcBorders>
              <w:top w:val="nil"/>
              <w:left w:val="single" w:sz="4" w:space="0" w:color="auto"/>
              <w:bottom w:val="single" w:sz="4" w:space="0" w:color="auto"/>
              <w:right w:val="single" w:sz="4" w:space="0" w:color="auto"/>
            </w:tcBorders>
            <w:vAlign w:val="center"/>
          </w:tcPr>
          <w:p w14:paraId="225C0ADF" w14:textId="77777777" w:rsidR="00260726" w:rsidRDefault="00E936D8">
            <w:pPr>
              <w:widowControl/>
              <w:adjustRightInd w:val="0"/>
              <w:snapToGrid w:val="0"/>
              <w:jc w:val="center"/>
              <w:rPr>
                <w:color w:val="000000"/>
                <w:kern w:val="0"/>
                <w:sz w:val="18"/>
                <w:szCs w:val="18"/>
              </w:rPr>
            </w:pPr>
            <w:r>
              <w:rPr>
                <w:color w:val="000000"/>
                <w:kern w:val="0"/>
                <w:sz w:val="18"/>
                <w:szCs w:val="18"/>
              </w:rPr>
              <w:t>目标设定</w:t>
            </w:r>
          </w:p>
        </w:tc>
        <w:tc>
          <w:tcPr>
            <w:tcW w:w="483" w:type="pct"/>
            <w:tcBorders>
              <w:top w:val="nil"/>
              <w:left w:val="nil"/>
              <w:bottom w:val="single" w:sz="4" w:space="0" w:color="auto"/>
              <w:right w:val="single" w:sz="4" w:space="0" w:color="auto"/>
            </w:tcBorders>
            <w:vAlign w:val="center"/>
          </w:tcPr>
          <w:p w14:paraId="5DA27C0A" w14:textId="77777777" w:rsidR="00260726" w:rsidRDefault="00E936D8">
            <w:pPr>
              <w:widowControl/>
              <w:adjustRightInd w:val="0"/>
              <w:snapToGrid w:val="0"/>
              <w:jc w:val="center"/>
              <w:rPr>
                <w:color w:val="000000"/>
                <w:kern w:val="0"/>
                <w:sz w:val="18"/>
                <w:szCs w:val="18"/>
              </w:rPr>
            </w:pPr>
            <w:r>
              <w:rPr>
                <w:color w:val="000000"/>
                <w:kern w:val="0"/>
                <w:sz w:val="18"/>
                <w:szCs w:val="18"/>
              </w:rPr>
              <w:t>中长期目标与部门职能的匹配性</w:t>
            </w:r>
          </w:p>
        </w:tc>
        <w:tc>
          <w:tcPr>
            <w:tcW w:w="288" w:type="pct"/>
            <w:tcBorders>
              <w:top w:val="nil"/>
              <w:left w:val="nil"/>
              <w:bottom w:val="single" w:sz="4" w:space="0" w:color="auto"/>
              <w:right w:val="single" w:sz="4" w:space="0" w:color="auto"/>
            </w:tcBorders>
            <w:vAlign w:val="center"/>
          </w:tcPr>
          <w:p w14:paraId="09C951AE" w14:textId="77777777" w:rsidR="00260726" w:rsidRDefault="00E936D8">
            <w:pPr>
              <w:widowControl/>
              <w:adjustRightInd w:val="0"/>
              <w:snapToGrid w:val="0"/>
              <w:jc w:val="center"/>
              <w:rPr>
                <w:color w:val="000000"/>
                <w:kern w:val="0"/>
                <w:sz w:val="18"/>
                <w:szCs w:val="18"/>
              </w:rPr>
            </w:pPr>
            <w:r>
              <w:rPr>
                <w:color w:val="000000"/>
                <w:kern w:val="0"/>
                <w:sz w:val="18"/>
                <w:szCs w:val="18"/>
              </w:rPr>
              <w:t>匹配</w:t>
            </w:r>
          </w:p>
        </w:tc>
        <w:tc>
          <w:tcPr>
            <w:tcW w:w="192" w:type="pct"/>
            <w:tcBorders>
              <w:top w:val="nil"/>
              <w:left w:val="nil"/>
              <w:bottom w:val="single" w:sz="4" w:space="0" w:color="auto"/>
              <w:right w:val="single" w:sz="4" w:space="0" w:color="auto"/>
            </w:tcBorders>
            <w:vAlign w:val="center"/>
          </w:tcPr>
          <w:p w14:paraId="2082833C"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noWrap/>
            <w:vAlign w:val="center"/>
          </w:tcPr>
          <w:p w14:paraId="332A6C8F" w14:textId="77777777" w:rsidR="00260726" w:rsidRDefault="00E936D8">
            <w:pPr>
              <w:adjustRightInd w:val="0"/>
              <w:snapToGrid w:val="0"/>
              <w:rPr>
                <w:color w:val="000000"/>
                <w:sz w:val="18"/>
                <w:szCs w:val="18"/>
              </w:rPr>
            </w:pPr>
            <w:r>
              <w:rPr>
                <w:color w:val="000000"/>
                <w:sz w:val="18"/>
                <w:szCs w:val="18"/>
              </w:rPr>
              <w:t>中长期目标与部门职能相匹配，得</w:t>
            </w:r>
            <w:r>
              <w:rPr>
                <w:color w:val="000000"/>
                <w:sz w:val="18"/>
                <w:szCs w:val="18"/>
              </w:rPr>
              <w:t>2</w:t>
            </w:r>
            <w:r>
              <w:rPr>
                <w:color w:val="000000"/>
                <w:sz w:val="18"/>
                <w:szCs w:val="18"/>
              </w:rPr>
              <w:t>分；匹配性不足，得</w:t>
            </w:r>
            <w:r>
              <w:rPr>
                <w:color w:val="000000"/>
                <w:sz w:val="18"/>
                <w:szCs w:val="18"/>
              </w:rPr>
              <w:t>1</w:t>
            </w:r>
            <w:r>
              <w:rPr>
                <w:color w:val="000000"/>
                <w:sz w:val="18"/>
                <w:szCs w:val="18"/>
              </w:rPr>
              <w:t>分；不匹配，得</w:t>
            </w:r>
            <w:r>
              <w:rPr>
                <w:color w:val="000000"/>
                <w:sz w:val="18"/>
                <w:szCs w:val="18"/>
              </w:rPr>
              <w:t>0</w:t>
            </w:r>
            <w:r>
              <w:rPr>
                <w:color w:val="000000"/>
                <w:sz w:val="18"/>
                <w:szCs w:val="18"/>
              </w:rPr>
              <w:t>分。</w:t>
            </w:r>
          </w:p>
        </w:tc>
        <w:tc>
          <w:tcPr>
            <w:tcW w:w="964" w:type="pct"/>
            <w:tcBorders>
              <w:top w:val="nil"/>
              <w:left w:val="nil"/>
              <w:bottom w:val="single" w:sz="4" w:space="0" w:color="auto"/>
              <w:right w:val="single" w:sz="4" w:space="0" w:color="auto"/>
            </w:tcBorders>
            <w:vAlign w:val="center"/>
          </w:tcPr>
          <w:p w14:paraId="675B9E69" w14:textId="77777777" w:rsidR="00260726" w:rsidRDefault="00E936D8">
            <w:pPr>
              <w:widowControl/>
              <w:adjustRightInd w:val="0"/>
              <w:snapToGrid w:val="0"/>
              <w:jc w:val="left"/>
              <w:rPr>
                <w:color w:val="000000"/>
                <w:kern w:val="0"/>
                <w:sz w:val="18"/>
                <w:szCs w:val="18"/>
              </w:rPr>
            </w:pPr>
            <w:r>
              <w:rPr>
                <w:color w:val="000000"/>
                <w:kern w:val="0"/>
                <w:sz w:val="18"/>
                <w:szCs w:val="18"/>
              </w:rPr>
              <w:t>中长期目标与部门职能相匹配。</w:t>
            </w:r>
          </w:p>
        </w:tc>
        <w:tc>
          <w:tcPr>
            <w:tcW w:w="239" w:type="pct"/>
            <w:tcBorders>
              <w:top w:val="nil"/>
              <w:left w:val="nil"/>
              <w:bottom w:val="single" w:sz="4" w:space="0" w:color="auto"/>
              <w:right w:val="single" w:sz="4" w:space="0" w:color="auto"/>
            </w:tcBorders>
            <w:vAlign w:val="center"/>
          </w:tcPr>
          <w:p w14:paraId="6C20DA73"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4E877C1E" w14:textId="77777777">
        <w:trPr>
          <w:trHeight w:val="700"/>
        </w:trPr>
        <w:tc>
          <w:tcPr>
            <w:tcW w:w="267" w:type="pct"/>
            <w:vMerge/>
            <w:tcBorders>
              <w:top w:val="nil"/>
              <w:left w:val="single" w:sz="4" w:space="0" w:color="auto"/>
              <w:bottom w:val="single" w:sz="4" w:space="0" w:color="auto"/>
              <w:right w:val="single" w:sz="4" w:space="0" w:color="auto"/>
            </w:tcBorders>
            <w:vAlign w:val="center"/>
          </w:tcPr>
          <w:p w14:paraId="2AACE1FD" w14:textId="77777777" w:rsidR="00260726" w:rsidRDefault="00260726">
            <w:pPr>
              <w:widowControl/>
              <w:adjustRightInd w:val="0"/>
              <w:snapToGrid w:val="0"/>
              <w:jc w:val="left"/>
              <w:rPr>
                <w:color w:val="000000"/>
                <w:kern w:val="0"/>
                <w:sz w:val="18"/>
                <w:szCs w:val="18"/>
              </w:rPr>
            </w:pPr>
          </w:p>
        </w:tc>
        <w:tc>
          <w:tcPr>
            <w:tcW w:w="299" w:type="pct"/>
            <w:vMerge/>
            <w:tcBorders>
              <w:top w:val="nil"/>
              <w:left w:val="single" w:sz="4" w:space="0" w:color="auto"/>
              <w:bottom w:val="single" w:sz="4" w:space="0" w:color="auto"/>
              <w:right w:val="single" w:sz="4" w:space="0" w:color="auto"/>
            </w:tcBorders>
            <w:vAlign w:val="center"/>
          </w:tcPr>
          <w:p w14:paraId="5945F940"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524EC1D1" w14:textId="77777777" w:rsidR="00260726" w:rsidRDefault="00E936D8">
            <w:pPr>
              <w:widowControl/>
              <w:adjustRightInd w:val="0"/>
              <w:snapToGrid w:val="0"/>
              <w:jc w:val="center"/>
              <w:rPr>
                <w:color w:val="000000"/>
                <w:kern w:val="0"/>
                <w:sz w:val="18"/>
                <w:szCs w:val="18"/>
              </w:rPr>
            </w:pPr>
            <w:r>
              <w:rPr>
                <w:color w:val="000000"/>
                <w:kern w:val="0"/>
                <w:sz w:val="18"/>
                <w:szCs w:val="18"/>
              </w:rPr>
              <w:t>年度工作目标明确性</w:t>
            </w:r>
          </w:p>
        </w:tc>
        <w:tc>
          <w:tcPr>
            <w:tcW w:w="288" w:type="pct"/>
            <w:tcBorders>
              <w:top w:val="nil"/>
              <w:left w:val="nil"/>
              <w:bottom w:val="single" w:sz="4" w:space="0" w:color="auto"/>
              <w:right w:val="single" w:sz="4" w:space="0" w:color="auto"/>
            </w:tcBorders>
            <w:vAlign w:val="center"/>
          </w:tcPr>
          <w:p w14:paraId="783A8804" w14:textId="77777777" w:rsidR="00260726" w:rsidRDefault="00E936D8">
            <w:pPr>
              <w:widowControl/>
              <w:adjustRightInd w:val="0"/>
              <w:snapToGrid w:val="0"/>
              <w:jc w:val="center"/>
              <w:rPr>
                <w:color w:val="000000"/>
                <w:kern w:val="0"/>
                <w:sz w:val="18"/>
                <w:szCs w:val="18"/>
              </w:rPr>
            </w:pPr>
            <w:r>
              <w:rPr>
                <w:color w:val="000000"/>
                <w:kern w:val="0"/>
                <w:sz w:val="18"/>
                <w:szCs w:val="18"/>
              </w:rPr>
              <w:t>明确</w:t>
            </w:r>
          </w:p>
        </w:tc>
        <w:tc>
          <w:tcPr>
            <w:tcW w:w="192" w:type="pct"/>
            <w:tcBorders>
              <w:top w:val="nil"/>
              <w:left w:val="nil"/>
              <w:bottom w:val="single" w:sz="4" w:space="0" w:color="auto"/>
              <w:right w:val="single" w:sz="4" w:space="0" w:color="auto"/>
            </w:tcBorders>
            <w:vAlign w:val="center"/>
          </w:tcPr>
          <w:p w14:paraId="63103DF5"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noWrap/>
            <w:vAlign w:val="center"/>
          </w:tcPr>
          <w:p w14:paraId="0369466F" w14:textId="77777777" w:rsidR="00260726" w:rsidRDefault="00E936D8">
            <w:pPr>
              <w:adjustRightInd w:val="0"/>
              <w:snapToGrid w:val="0"/>
              <w:rPr>
                <w:color w:val="000000"/>
                <w:sz w:val="18"/>
                <w:szCs w:val="18"/>
              </w:rPr>
            </w:pPr>
            <w:r>
              <w:rPr>
                <w:color w:val="000000"/>
                <w:sz w:val="18"/>
                <w:szCs w:val="18"/>
              </w:rPr>
              <w:t>部门年度工作目标明确，符合中长期目标得</w:t>
            </w:r>
            <w:r>
              <w:rPr>
                <w:color w:val="000000"/>
                <w:sz w:val="18"/>
                <w:szCs w:val="18"/>
              </w:rPr>
              <w:t>2</w:t>
            </w:r>
            <w:r>
              <w:rPr>
                <w:color w:val="000000"/>
                <w:sz w:val="18"/>
                <w:szCs w:val="18"/>
              </w:rPr>
              <w:t>分；不明确或不符合，得</w:t>
            </w:r>
            <w:r>
              <w:rPr>
                <w:color w:val="000000"/>
                <w:sz w:val="18"/>
                <w:szCs w:val="18"/>
              </w:rPr>
              <w:t>0</w:t>
            </w:r>
            <w:r>
              <w:rPr>
                <w:color w:val="000000"/>
                <w:sz w:val="18"/>
                <w:szCs w:val="18"/>
              </w:rPr>
              <w:t>分。</w:t>
            </w:r>
          </w:p>
        </w:tc>
        <w:tc>
          <w:tcPr>
            <w:tcW w:w="964" w:type="pct"/>
            <w:tcBorders>
              <w:top w:val="nil"/>
              <w:left w:val="nil"/>
              <w:bottom w:val="single" w:sz="4" w:space="0" w:color="auto"/>
              <w:right w:val="single" w:sz="4" w:space="0" w:color="auto"/>
            </w:tcBorders>
            <w:vAlign w:val="center"/>
          </w:tcPr>
          <w:p w14:paraId="0BEF2129" w14:textId="77777777" w:rsidR="00260726" w:rsidRDefault="00E936D8">
            <w:pPr>
              <w:widowControl/>
              <w:adjustRightInd w:val="0"/>
              <w:snapToGrid w:val="0"/>
              <w:jc w:val="left"/>
              <w:rPr>
                <w:color w:val="000000"/>
                <w:kern w:val="0"/>
                <w:sz w:val="18"/>
                <w:szCs w:val="18"/>
              </w:rPr>
            </w:pPr>
            <w:r>
              <w:rPr>
                <w:color w:val="000000"/>
                <w:kern w:val="0"/>
                <w:sz w:val="18"/>
                <w:szCs w:val="18"/>
              </w:rPr>
              <w:t>部门年度工作目标明确，符合中长期目标。</w:t>
            </w:r>
          </w:p>
        </w:tc>
        <w:tc>
          <w:tcPr>
            <w:tcW w:w="239" w:type="pct"/>
            <w:tcBorders>
              <w:top w:val="nil"/>
              <w:left w:val="nil"/>
              <w:bottom w:val="single" w:sz="4" w:space="0" w:color="auto"/>
              <w:right w:val="single" w:sz="4" w:space="0" w:color="auto"/>
            </w:tcBorders>
            <w:vAlign w:val="center"/>
          </w:tcPr>
          <w:p w14:paraId="244AF6E0"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6C6AC9E6" w14:textId="77777777">
        <w:trPr>
          <w:trHeight w:val="700"/>
        </w:trPr>
        <w:tc>
          <w:tcPr>
            <w:tcW w:w="267" w:type="pct"/>
            <w:vMerge/>
            <w:tcBorders>
              <w:top w:val="nil"/>
              <w:left w:val="single" w:sz="4" w:space="0" w:color="auto"/>
              <w:bottom w:val="single" w:sz="4" w:space="0" w:color="auto"/>
              <w:right w:val="single" w:sz="4" w:space="0" w:color="auto"/>
            </w:tcBorders>
            <w:vAlign w:val="center"/>
          </w:tcPr>
          <w:p w14:paraId="188AB8F1" w14:textId="77777777" w:rsidR="00260726" w:rsidRDefault="00260726">
            <w:pPr>
              <w:widowControl/>
              <w:adjustRightInd w:val="0"/>
              <w:snapToGrid w:val="0"/>
              <w:jc w:val="left"/>
              <w:rPr>
                <w:color w:val="000000"/>
                <w:kern w:val="0"/>
                <w:sz w:val="18"/>
                <w:szCs w:val="18"/>
              </w:rPr>
            </w:pPr>
          </w:p>
        </w:tc>
        <w:tc>
          <w:tcPr>
            <w:tcW w:w="299" w:type="pct"/>
            <w:vMerge/>
            <w:tcBorders>
              <w:top w:val="nil"/>
              <w:left w:val="single" w:sz="4" w:space="0" w:color="auto"/>
              <w:bottom w:val="single" w:sz="4" w:space="0" w:color="auto"/>
              <w:right w:val="single" w:sz="4" w:space="0" w:color="auto"/>
            </w:tcBorders>
            <w:vAlign w:val="center"/>
          </w:tcPr>
          <w:p w14:paraId="1646572E"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509E5D7B" w14:textId="77777777" w:rsidR="00260726" w:rsidRDefault="00E936D8">
            <w:pPr>
              <w:widowControl/>
              <w:adjustRightInd w:val="0"/>
              <w:snapToGrid w:val="0"/>
              <w:jc w:val="center"/>
              <w:rPr>
                <w:color w:val="000000"/>
                <w:kern w:val="0"/>
                <w:sz w:val="18"/>
                <w:szCs w:val="18"/>
              </w:rPr>
            </w:pPr>
            <w:r>
              <w:rPr>
                <w:color w:val="000000"/>
                <w:kern w:val="0"/>
                <w:sz w:val="18"/>
                <w:szCs w:val="18"/>
              </w:rPr>
              <w:t>年度工作目标科学合理性</w:t>
            </w:r>
          </w:p>
        </w:tc>
        <w:tc>
          <w:tcPr>
            <w:tcW w:w="288" w:type="pct"/>
            <w:tcBorders>
              <w:top w:val="nil"/>
              <w:left w:val="nil"/>
              <w:bottom w:val="single" w:sz="4" w:space="0" w:color="auto"/>
              <w:right w:val="single" w:sz="4" w:space="0" w:color="auto"/>
            </w:tcBorders>
            <w:vAlign w:val="center"/>
          </w:tcPr>
          <w:p w14:paraId="62648544" w14:textId="77777777" w:rsidR="00260726" w:rsidRDefault="00E936D8">
            <w:pPr>
              <w:widowControl/>
              <w:adjustRightInd w:val="0"/>
              <w:snapToGrid w:val="0"/>
              <w:jc w:val="center"/>
              <w:rPr>
                <w:color w:val="000000"/>
                <w:kern w:val="0"/>
                <w:sz w:val="18"/>
                <w:szCs w:val="18"/>
              </w:rPr>
            </w:pPr>
            <w:r>
              <w:rPr>
                <w:color w:val="000000"/>
                <w:kern w:val="0"/>
                <w:sz w:val="18"/>
                <w:szCs w:val="18"/>
              </w:rPr>
              <w:t>科学合理</w:t>
            </w:r>
          </w:p>
        </w:tc>
        <w:tc>
          <w:tcPr>
            <w:tcW w:w="192" w:type="pct"/>
            <w:tcBorders>
              <w:top w:val="nil"/>
              <w:left w:val="nil"/>
              <w:bottom w:val="single" w:sz="4" w:space="0" w:color="auto"/>
              <w:right w:val="single" w:sz="4" w:space="0" w:color="auto"/>
            </w:tcBorders>
            <w:vAlign w:val="center"/>
          </w:tcPr>
          <w:p w14:paraId="07DF1F87"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673669BE"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2</w:t>
            </w:r>
            <w:r>
              <w:rPr>
                <w:color w:val="000000"/>
                <w:sz w:val="18"/>
                <w:szCs w:val="18"/>
              </w:rPr>
              <w:t>项：</w:t>
            </w:r>
            <w:r>
              <w:rPr>
                <w:color w:val="000000"/>
                <w:sz w:val="18"/>
                <w:szCs w:val="18"/>
              </w:rPr>
              <w:t>1.</w:t>
            </w:r>
            <w:r>
              <w:rPr>
                <w:color w:val="000000"/>
                <w:sz w:val="18"/>
                <w:szCs w:val="18"/>
              </w:rPr>
              <w:t>年度工作目标可衡量，得</w:t>
            </w:r>
            <w:r>
              <w:rPr>
                <w:color w:val="000000"/>
                <w:sz w:val="18"/>
                <w:szCs w:val="18"/>
              </w:rPr>
              <w:t>1</w:t>
            </w:r>
            <w:r>
              <w:rPr>
                <w:color w:val="000000"/>
                <w:sz w:val="18"/>
                <w:szCs w:val="18"/>
              </w:rPr>
              <w:t>分；不可衡量，得</w:t>
            </w:r>
            <w:r>
              <w:rPr>
                <w:color w:val="000000"/>
                <w:sz w:val="18"/>
                <w:szCs w:val="18"/>
              </w:rPr>
              <w:t>0</w:t>
            </w:r>
            <w:r>
              <w:rPr>
                <w:color w:val="000000"/>
                <w:sz w:val="18"/>
                <w:szCs w:val="18"/>
              </w:rPr>
              <w:t>分。</w:t>
            </w:r>
            <w:r>
              <w:rPr>
                <w:color w:val="000000"/>
                <w:sz w:val="18"/>
                <w:szCs w:val="18"/>
              </w:rPr>
              <w:t>2.</w:t>
            </w:r>
            <w:r>
              <w:rPr>
                <w:color w:val="000000"/>
                <w:sz w:val="18"/>
                <w:szCs w:val="18"/>
              </w:rPr>
              <w:t>年度工作目标可实现，得</w:t>
            </w:r>
            <w:r>
              <w:rPr>
                <w:color w:val="000000"/>
                <w:sz w:val="18"/>
                <w:szCs w:val="18"/>
              </w:rPr>
              <w:t>1</w:t>
            </w:r>
            <w:r>
              <w:rPr>
                <w:color w:val="000000"/>
                <w:sz w:val="18"/>
                <w:szCs w:val="18"/>
              </w:rPr>
              <w:t>分；不可实现，得</w:t>
            </w:r>
            <w:r>
              <w:rPr>
                <w:color w:val="000000"/>
                <w:sz w:val="18"/>
                <w:szCs w:val="18"/>
              </w:rPr>
              <w:t>0</w:t>
            </w:r>
            <w:r>
              <w:rPr>
                <w:color w:val="000000"/>
                <w:sz w:val="18"/>
                <w:szCs w:val="18"/>
              </w:rPr>
              <w:t>分。</w:t>
            </w:r>
          </w:p>
        </w:tc>
        <w:tc>
          <w:tcPr>
            <w:tcW w:w="964" w:type="pct"/>
            <w:tcBorders>
              <w:top w:val="nil"/>
              <w:left w:val="nil"/>
              <w:bottom w:val="single" w:sz="4" w:space="0" w:color="auto"/>
              <w:right w:val="single" w:sz="4" w:space="0" w:color="auto"/>
            </w:tcBorders>
            <w:vAlign w:val="center"/>
          </w:tcPr>
          <w:p w14:paraId="255585DC" w14:textId="77777777" w:rsidR="00260726" w:rsidRDefault="00E936D8">
            <w:pPr>
              <w:widowControl/>
              <w:adjustRightInd w:val="0"/>
              <w:snapToGrid w:val="0"/>
              <w:jc w:val="left"/>
              <w:rPr>
                <w:color w:val="000000"/>
                <w:kern w:val="0"/>
                <w:sz w:val="18"/>
                <w:szCs w:val="18"/>
              </w:rPr>
            </w:pPr>
            <w:r>
              <w:rPr>
                <w:color w:val="000000"/>
                <w:kern w:val="0"/>
                <w:sz w:val="18"/>
                <w:szCs w:val="18"/>
              </w:rPr>
              <w:t>年度工作目标可衡量、可实现。</w:t>
            </w:r>
          </w:p>
        </w:tc>
        <w:tc>
          <w:tcPr>
            <w:tcW w:w="239" w:type="pct"/>
            <w:tcBorders>
              <w:top w:val="nil"/>
              <w:left w:val="nil"/>
              <w:bottom w:val="single" w:sz="4" w:space="0" w:color="auto"/>
              <w:right w:val="single" w:sz="4" w:space="0" w:color="auto"/>
            </w:tcBorders>
            <w:vAlign w:val="center"/>
          </w:tcPr>
          <w:p w14:paraId="003FD28D"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22C87CC8" w14:textId="77777777">
        <w:trPr>
          <w:trHeight w:val="700"/>
        </w:trPr>
        <w:tc>
          <w:tcPr>
            <w:tcW w:w="267" w:type="pct"/>
            <w:vMerge/>
            <w:tcBorders>
              <w:top w:val="nil"/>
              <w:left w:val="single" w:sz="4" w:space="0" w:color="auto"/>
              <w:bottom w:val="single" w:sz="4" w:space="0" w:color="auto"/>
              <w:right w:val="single" w:sz="4" w:space="0" w:color="auto"/>
            </w:tcBorders>
            <w:vAlign w:val="center"/>
          </w:tcPr>
          <w:p w14:paraId="2C06EC8E"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653BB7C7" w14:textId="77777777" w:rsidR="00260726" w:rsidRDefault="00E936D8">
            <w:pPr>
              <w:widowControl/>
              <w:adjustRightInd w:val="0"/>
              <w:snapToGrid w:val="0"/>
              <w:jc w:val="center"/>
              <w:rPr>
                <w:color w:val="000000"/>
                <w:kern w:val="0"/>
                <w:sz w:val="18"/>
                <w:szCs w:val="18"/>
              </w:rPr>
            </w:pPr>
            <w:r>
              <w:rPr>
                <w:color w:val="000000"/>
                <w:kern w:val="0"/>
                <w:sz w:val="18"/>
                <w:szCs w:val="18"/>
              </w:rPr>
              <w:t>预算编制</w:t>
            </w:r>
          </w:p>
        </w:tc>
        <w:tc>
          <w:tcPr>
            <w:tcW w:w="483" w:type="pct"/>
            <w:tcBorders>
              <w:top w:val="single" w:sz="4" w:space="0" w:color="auto"/>
              <w:left w:val="nil"/>
              <w:bottom w:val="single" w:sz="4" w:space="0" w:color="auto"/>
              <w:right w:val="single" w:sz="4" w:space="0" w:color="auto"/>
            </w:tcBorders>
            <w:vAlign w:val="center"/>
          </w:tcPr>
          <w:p w14:paraId="05D48529" w14:textId="77777777" w:rsidR="00260726" w:rsidRDefault="00E936D8">
            <w:pPr>
              <w:widowControl/>
              <w:adjustRightInd w:val="0"/>
              <w:snapToGrid w:val="0"/>
              <w:jc w:val="center"/>
              <w:rPr>
                <w:color w:val="000000"/>
                <w:kern w:val="0"/>
                <w:sz w:val="18"/>
                <w:szCs w:val="18"/>
              </w:rPr>
            </w:pPr>
            <w:r>
              <w:rPr>
                <w:color w:val="000000"/>
                <w:kern w:val="0"/>
                <w:sz w:val="18"/>
                <w:szCs w:val="18"/>
              </w:rPr>
              <w:t>预算编制规范性</w:t>
            </w:r>
          </w:p>
        </w:tc>
        <w:tc>
          <w:tcPr>
            <w:tcW w:w="288" w:type="pct"/>
            <w:tcBorders>
              <w:top w:val="single" w:sz="4" w:space="0" w:color="auto"/>
              <w:left w:val="nil"/>
              <w:bottom w:val="single" w:sz="4" w:space="0" w:color="auto"/>
              <w:right w:val="single" w:sz="4" w:space="0" w:color="auto"/>
            </w:tcBorders>
            <w:vAlign w:val="center"/>
          </w:tcPr>
          <w:p w14:paraId="3462C51B" w14:textId="77777777" w:rsidR="00260726" w:rsidRDefault="00E936D8">
            <w:pPr>
              <w:widowControl/>
              <w:adjustRightInd w:val="0"/>
              <w:snapToGrid w:val="0"/>
              <w:jc w:val="center"/>
              <w:rPr>
                <w:color w:val="000000"/>
                <w:kern w:val="0"/>
                <w:sz w:val="18"/>
                <w:szCs w:val="18"/>
              </w:rPr>
            </w:pPr>
            <w:r>
              <w:rPr>
                <w:color w:val="000000"/>
                <w:kern w:val="0"/>
                <w:sz w:val="18"/>
                <w:szCs w:val="18"/>
              </w:rPr>
              <w:t>规范</w:t>
            </w:r>
          </w:p>
        </w:tc>
        <w:tc>
          <w:tcPr>
            <w:tcW w:w="192" w:type="pct"/>
            <w:tcBorders>
              <w:top w:val="single" w:sz="4" w:space="0" w:color="auto"/>
              <w:left w:val="nil"/>
              <w:bottom w:val="single" w:sz="4" w:space="0" w:color="auto"/>
              <w:right w:val="single" w:sz="4" w:space="0" w:color="auto"/>
            </w:tcBorders>
            <w:vAlign w:val="center"/>
          </w:tcPr>
          <w:p w14:paraId="6A190973"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nil"/>
              <w:bottom w:val="single" w:sz="4" w:space="0" w:color="auto"/>
              <w:right w:val="single" w:sz="4" w:space="0" w:color="auto"/>
            </w:tcBorders>
            <w:noWrap/>
            <w:vAlign w:val="center"/>
          </w:tcPr>
          <w:p w14:paraId="079472DD" w14:textId="77777777" w:rsidR="00260726" w:rsidRDefault="00E936D8">
            <w:pPr>
              <w:adjustRightInd w:val="0"/>
              <w:snapToGrid w:val="0"/>
              <w:rPr>
                <w:color w:val="000000"/>
                <w:sz w:val="18"/>
                <w:szCs w:val="18"/>
              </w:rPr>
            </w:pPr>
            <w:r>
              <w:rPr>
                <w:color w:val="000000"/>
                <w:sz w:val="18"/>
                <w:szCs w:val="18"/>
              </w:rPr>
              <w:t>预算编制流程是否科学规范，遵循两上两下机制，经局办公会审议得</w:t>
            </w:r>
            <w:r>
              <w:rPr>
                <w:color w:val="000000"/>
                <w:sz w:val="18"/>
                <w:szCs w:val="18"/>
              </w:rPr>
              <w:t>2</w:t>
            </w:r>
            <w:r>
              <w:rPr>
                <w:color w:val="000000"/>
                <w:sz w:val="18"/>
                <w:szCs w:val="18"/>
              </w:rPr>
              <w:t>分；未执行编制流程，不得分。</w:t>
            </w:r>
          </w:p>
        </w:tc>
        <w:tc>
          <w:tcPr>
            <w:tcW w:w="964" w:type="pct"/>
            <w:tcBorders>
              <w:top w:val="single" w:sz="4" w:space="0" w:color="auto"/>
              <w:left w:val="nil"/>
              <w:bottom w:val="single" w:sz="4" w:space="0" w:color="auto"/>
              <w:right w:val="single" w:sz="4" w:space="0" w:color="auto"/>
            </w:tcBorders>
            <w:vAlign w:val="center"/>
          </w:tcPr>
          <w:p w14:paraId="5E6B785B" w14:textId="77777777" w:rsidR="00260726" w:rsidRDefault="00E936D8">
            <w:pPr>
              <w:widowControl/>
              <w:adjustRightInd w:val="0"/>
              <w:snapToGrid w:val="0"/>
              <w:jc w:val="left"/>
              <w:rPr>
                <w:color w:val="000000"/>
                <w:kern w:val="0"/>
                <w:sz w:val="18"/>
                <w:szCs w:val="18"/>
              </w:rPr>
            </w:pPr>
            <w:r>
              <w:rPr>
                <w:color w:val="000000"/>
                <w:kern w:val="0"/>
                <w:sz w:val="18"/>
                <w:szCs w:val="18"/>
              </w:rPr>
              <w:t>算编制流程科学规范，遵循两上两下机制，经局办公会审议。</w:t>
            </w:r>
          </w:p>
        </w:tc>
        <w:tc>
          <w:tcPr>
            <w:tcW w:w="239" w:type="pct"/>
            <w:tcBorders>
              <w:top w:val="single" w:sz="4" w:space="0" w:color="auto"/>
              <w:left w:val="nil"/>
              <w:bottom w:val="single" w:sz="4" w:space="0" w:color="auto"/>
              <w:right w:val="single" w:sz="4" w:space="0" w:color="auto"/>
            </w:tcBorders>
            <w:vAlign w:val="center"/>
          </w:tcPr>
          <w:p w14:paraId="45288262"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0D1195CC" w14:textId="77777777">
        <w:trPr>
          <w:trHeight w:val="942"/>
        </w:trPr>
        <w:tc>
          <w:tcPr>
            <w:tcW w:w="267" w:type="pct"/>
            <w:vMerge/>
            <w:tcBorders>
              <w:top w:val="nil"/>
              <w:left w:val="single" w:sz="4" w:space="0" w:color="auto"/>
              <w:bottom w:val="single" w:sz="4" w:space="0" w:color="auto"/>
              <w:right w:val="single" w:sz="4" w:space="0" w:color="auto"/>
            </w:tcBorders>
            <w:vAlign w:val="center"/>
          </w:tcPr>
          <w:p w14:paraId="54D263CB" w14:textId="77777777" w:rsidR="00260726" w:rsidRDefault="00260726">
            <w:pPr>
              <w:widowControl/>
              <w:adjustRightInd w:val="0"/>
              <w:snapToGrid w:val="0"/>
              <w:jc w:val="left"/>
              <w:rPr>
                <w:color w:val="000000"/>
                <w:kern w:val="0"/>
                <w:sz w:val="18"/>
                <w:szCs w:val="18"/>
              </w:rPr>
            </w:pPr>
          </w:p>
        </w:tc>
        <w:tc>
          <w:tcPr>
            <w:tcW w:w="299" w:type="pct"/>
            <w:vMerge/>
            <w:tcBorders>
              <w:top w:val="nil"/>
              <w:left w:val="single" w:sz="4" w:space="0" w:color="auto"/>
              <w:bottom w:val="single" w:sz="4" w:space="0" w:color="auto"/>
              <w:right w:val="single" w:sz="4" w:space="0" w:color="auto"/>
            </w:tcBorders>
            <w:vAlign w:val="center"/>
          </w:tcPr>
          <w:p w14:paraId="6F3FCE95"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06DB736D" w14:textId="77777777" w:rsidR="00260726" w:rsidRDefault="00E936D8">
            <w:pPr>
              <w:widowControl/>
              <w:adjustRightInd w:val="0"/>
              <w:snapToGrid w:val="0"/>
              <w:jc w:val="center"/>
              <w:rPr>
                <w:color w:val="000000"/>
                <w:kern w:val="0"/>
                <w:sz w:val="18"/>
                <w:szCs w:val="18"/>
              </w:rPr>
            </w:pPr>
            <w:r>
              <w:rPr>
                <w:color w:val="000000"/>
                <w:kern w:val="0"/>
                <w:sz w:val="18"/>
                <w:szCs w:val="18"/>
              </w:rPr>
              <w:t>预算编制科学性</w:t>
            </w:r>
          </w:p>
        </w:tc>
        <w:tc>
          <w:tcPr>
            <w:tcW w:w="288" w:type="pct"/>
            <w:tcBorders>
              <w:top w:val="single" w:sz="4" w:space="0" w:color="auto"/>
              <w:left w:val="single" w:sz="4" w:space="0" w:color="auto"/>
              <w:bottom w:val="single" w:sz="4" w:space="0" w:color="auto"/>
              <w:right w:val="single" w:sz="4" w:space="0" w:color="auto"/>
            </w:tcBorders>
            <w:vAlign w:val="center"/>
          </w:tcPr>
          <w:p w14:paraId="54D9000B" w14:textId="77777777" w:rsidR="00260726" w:rsidRDefault="00E936D8">
            <w:pPr>
              <w:widowControl/>
              <w:adjustRightInd w:val="0"/>
              <w:snapToGrid w:val="0"/>
              <w:jc w:val="center"/>
              <w:rPr>
                <w:color w:val="000000"/>
                <w:kern w:val="0"/>
                <w:sz w:val="18"/>
                <w:szCs w:val="18"/>
              </w:rPr>
            </w:pPr>
            <w:r>
              <w:rPr>
                <w:color w:val="000000"/>
                <w:kern w:val="0"/>
                <w:sz w:val="18"/>
                <w:szCs w:val="18"/>
              </w:rPr>
              <w:t>科学</w:t>
            </w:r>
          </w:p>
        </w:tc>
        <w:tc>
          <w:tcPr>
            <w:tcW w:w="192" w:type="pct"/>
            <w:tcBorders>
              <w:top w:val="single" w:sz="4" w:space="0" w:color="auto"/>
              <w:left w:val="single" w:sz="4" w:space="0" w:color="auto"/>
              <w:bottom w:val="single" w:sz="4" w:space="0" w:color="auto"/>
              <w:right w:val="single" w:sz="4" w:space="0" w:color="auto"/>
            </w:tcBorders>
            <w:vAlign w:val="center"/>
          </w:tcPr>
          <w:p w14:paraId="01B4AC57"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single" w:sz="4" w:space="0" w:color="auto"/>
              <w:bottom w:val="single" w:sz="4" w:space="0" w:color="auto"/>
              <w:right w:val="single" w:sz="4" w:space="0" w:color="auto"/>
            </w:tcBorders>
            <w:vAlign w:val="center"/>
          </w:tcPr>
          <w:p w14:paraId="6CDDE380"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2</w:t>
            </w:r>
            <w:r>
              <w:rPr>
                <w:color w:val="000000"/>
                <w:sz w:val="18"/>
                <w:szCs w:val="18"/>
              </w:rPr>
              <w:t>项：</w:t>
            </w:r>
            <w:r>
              <w:rPr>
                <w:color w:val="000000"/>
                <w:sz w:val="18"/>
                <w:szCs w:val="18"/>
              </w:rPr>
              <w:t>1.</w:t>
            </w:r>
            <w:r>
              <w:rPr>
                <w:color w:val="000000"/>
                <w:sz w:val="18"/>
                <w:szCs w:val="18"/>
              </w:rPr>
              <w:t>重点项目资金编制经过科学论证程序，经财政系统审批通过得</w:t>
            </w:r>
            <w:r>
              <w:rPr>
                <w:color w:val="000000"/>
                <w:sz w:val="18"/>
                <w:szCs w:val="18"/>
              </w:rPr>
              <w:t>1</w:t>
            </w:r>
            <w:r>
              <w:rPr>
                <w:color w:val="000000"/>
                <w:sz w:val="18"/>
                <w:szCs w:val="18"/>
              </w:rPr>
              <w:t>分；未通过得</w:t>
            </w:r>
            <w:r>
              <w:rPr>
                <w:color w:val="000000"/>
                <w:sz w:val="18"/>
                <w:szCs w:val="18"/>
              </w:rPr>
              <w:t>0</w:t>
            </w:r>
            <w:r>
              <w:rPr>
                <w:color w:val="000000"/>
                <w:sz w:val="18"/>
                <w:szCs w:val="18"/>
              </w:rPr>
              <w:t>分；</w:t>
            </w:r>
            <w:r>
              <w:rPr>
                <w:color w:val="000000"/>
                <w:sz w:val="18"/>
                <w:szCs w:val="18"/>
              </w:rPr>
              <w:t>2.</w:t>
            </w:r>
            <w:r>
              <w:rPr>
                <w:color w:val="000000"/>
                <w:sz w:val="18"/>
                <w:szCs w:val="18"/>
              </w:rPr>
              <w:t>预算额度测算依据充分清晰，得</w:t>
            </w:r>
            <w:r>
              <w:rPr>
                <w:color w:val="000000"/>
                <w:sz w:val="18"/>
                <w:szCs w:val="18"/>
              </w:rPr>
              <w:t>1</w:t>
            </w:r>
            <w:r>
              <w:rPr>
                <w:color w:val="000000"/>
                <w:sz w:val="18"/>
                <w:szCs w:val="18"/>
              </w:rPr>
              <w:t>分；不充分或不清晰，得</w:t>
            </w:r>
            <w:r>
              <w:rPr>
                <w:color w:val="000000"/>
                <w:sz w:val="18"/>
                <w:szCs w:val="18"/>
              </w:rPr>
              <w:t>0</w:t>
            </w:r>
            <w:r>
              <w:rPr>
                <w:color w:val="000000"/>
                <w:sz w:val="18"/>
                <w:szCs w:val="18"/>
              </w:rPr>
              <w:t>分。</w:t>
            </w:r>
          </w:p>
        </w:tc>
        <w:tc>
          <w:tcPr>
            <w:tcW w:w="964" w:type="pct"/>
            <w:tcBorders>
              <w:top w:val="single" w:sz="4" w:space="0" w:color="auto"/>
              <w:left w:val="single" w:sz="4" w:space="0" w:color="auto"/>
              <w:bottom w:val="single" w:sz="4" w:space="0" w:color="auto"/>
              <w:right w:val="single" w:sz="4" w:space="0" w:color="auto"/>
            </w:tcBorders>
            <w:vAlign w:val="center"/>
          </w:tcPr>
          <w:p w14:paraId="0BDC5BF0" w14:textId="77777777" w:rsidR="00260726" w:rsidRDefault="00E936D8">
            <w:pPr>
              <w:widowControl/>
              <w:adjustRightInd w:val="0"/>
              <w:snapToGrid w:val="0"/>
              <w:jc w:val="left"/>
              <w:rPr>
                <w:color w:val="000000"/>
                <w:kern w:val="0"/>
                <w:sz w:val="18"/>
                <w:szCs w:val="18"/>
              </w:rPr>
            </w:pPr>
            <w:r>
              <w:rPr>
                <w:color w:val="000000"/>
                <w:kern w:val="0"/>
                <w:sz w:val="18"/>
                <w:szCs w:val="18"/>
              </w:rPr>
              <w:t>重点项目资金编制经过科学论证程序，经财政系统审批通过。预算额度测算依据充分清晰。</w:t>
            </w:r>
          </w:p>
        </w:tc>
        <w:tc>
          <w:tcPr>
            <w:tcW w:w="239" w:type="pct"/>
            <w:tcBorders>
              <w:top w:val="single" w:sz="4" w:space="0" w:color="auto"/>
              <w:left w:val="single" w:sz="4" w:space="0" w:color="auto"/>
              <w:bottom w:val="single" w:sz="4" w:space="0" w:color="auto"/>
              <w:right w:val="single" w:sz="4" w:space="0" w:color="auto"/>
            </w:tcBorders>
            <w:vAlign w:val="center"/>
          </w:tcPr>
          <w:p w14:paraId="0D015ADE"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5CB7D6BD" w14:textId="77777777">
        <w:trPr>
          <w:trHeight w:val="703"/>
        </w:trPr>
        <w:tc>
          <w:tcPr>
            <w:tcW w:w="267" w:type="pct"/>
            <w:vMerge/>
            <w:tcBorders>
              <w:top w:val="nil"/>
              <w:left w:val="single" w:sz="4" w:space="0" w:color="auto"/>
              <w:bottom w:val="single" w:sz="4" w:space="0" w:color="auto"/>
              <w:right w:val="single" w:sz="4" w:space="0" w:color="auto"/>
            </w:tcBorders>
            <w:vAlign w:val="center"/>
          </w:tcPr>
          <w:p w14:paraId="1D02553F" w14:textId="77777777" w:rsidR="00260726" w:rsidRDefault="00260726">
            <w:pPr>
              <w:widowControl/>
              <w:adjustRightInd w:val="0"/>
              <w:snapToGrid w:val="0"/>
              <w:jc w:val="left"/>
              <w:rPr>
                <w:color w:val="000000"/>
                <w:kern w:val="0"/>
                <w:sz w:val="18"/>
                <w:szCs w:val="18"/>
              </w:rPr>
            </w:pPr>
          </w:p>
        </w:tc>
        <w:tc>
          <w:tcPr>
            <w:tcW w:w="299" w:type="pct"/>
            <w:vMerge/>
            <w:tcBorders>
              <w:top w:val="nil"/>
              <w:left w:val="single" w:sz="4" w:space="0" w:color="auto"/>
              <w:bottom w:val="single" w:sz="4" w:space="0" w:color="auto"/>
              <w:right w:val="single" w:sz="4" w:space="0" w:color="auto"/>
            </w:tcBorders>
            <w:vAlign w:val="center"/>
          </w:tcPr>
          <w:p w14:paraId="238274BE"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noWrap/>
            <w:vAlign w:val="center"/>
          </w:tcPr>
          <w:p w14:paraId="293D1F81" w14:textId="77777777" w:rsidR="00260726" w:rsidRDefault="00E936D8">
            <w:pPr>
              <w:widowControl/>
              <w:adjustRightInd w:val="0"/>
              <w:snapToGrid w:val="0"/>
              <w:jc w:val="center"/>
              <w:rPr>
                <w:color w:val="000000"/>
                <w:kern w:val="0"/>
                <w:sz w:val="18"/>
                <w:szCs w:val="18"/>
              </w:rPr>
            </w:pPr>
            <w:r>
              <w:rPr>
                <w:color w:val="000000"/>
                <w:kern w:val="0"/>
                <w:sz w:val="18"/>
                <w:szCs w:val="18"/>
              </w:rPr>
              <w:t>预算编制匹配性</w:t>
            </w:r>
          </w:p>
        </w:tc>
        <w:tc>
          <w:tcPr>
            <w:tcW w:w="288" w:type="pct"/>
            <w:tcBorders>
              <w:top w:val="single" w:sz="4" w:space="0" w:color="auto"/>
              <w:left w:val="single" w:sz="4" w:space="0" w:color="auto"/>
              <w:bottom w:val="single" w:sz="4" w:space="0" w:color="auto"/>
              <w:right w:val="single" w:sz="4" w:space="0" w:color="auto"/>
            </w:tcBorders>
            <w:vAlign w:val="center"/>
          </w:tcPr>
          <w:p w14:paraId="14B523AC" w14:textId="77777777" w:rsidR="00260726" w:rsidRDefault="00E936D8">
            <w:pPr>
              <w:widowControl/>
              <w:adjustRightInd w:val="0"/>
              <w:snapToGrid w:val="0"/>
              <w:jc w:val="center"/>
              <w:rPr>
                <w:color w:val="000000"/>
                <w:kern w:val="0"/>
                <w:sz w:val="18"/>
                <w:szCs w:val="18"/>
              </w:rPr>
            </w:pPr>
            <w:r>
              <w:rPr>
                <w:color w:val="000000"/>
                <w:kern w:val="0"/>
                <w:sz w:val="18"/>
                <w:szCs w:val="18"/>
              </w:rPr>
              <w:t>匹配</w:t>
            </w:r>
          </w:p>
        </w:tc>
        <w:tc>
          <w:tcPr>
            <w:tcW w:w="192" w:type="pct"/>
            <w:tcBorders>
              <w:top w:val="single" w:sz="4" w:space="0" w:color="auto"/>
              <w:left w:val="single" w:sz="4" w:space="0" w:color="auto"/>
              <w:bottom w:val="single" w:sz="4" w:space="0" w:color="auto"/>
              <w:right w:val="single" w:sz="4" w:space="0" w:color="auto"/>
            </w:tcBorders>
            <w:vAlign w:val="center"/>
          </w:tcPr>
          <w:p w14:paraId="19FC798B"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single" w:sz="4" w:space="0" w:color="auto"/>
              <w:bottom w:val="single" w:sz="4" w:space="0" w:color="auto"/>
              <w:right w:val="single" w:sz="4" w:space="0" w:color="auto"/>
            </w:tcBorders>
            <w:vAlign w:val="center"/>
          </w:tcPr>
          <w:p w14:paraId="5AA15016"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2</w:t>
            </w:r>
            <w:r>
              <w:rPr>
                <w:color w:val="000000"/>
                <w:sz w:val="18"/>
                <w:szCs w:val="18"/>
              </w:rPr>
              <w:t>项：</w:t>
            </w:r>
            <w:r>
              <w:rPr>
                <w:color w:val="000000"/>
                <w:sz w:val="18"/>
                <w:szCs w:val="18"/>
              </w:rPr>
              <w:t>1.</w:t>
            </w:r>
            <w:r>
              <w:rPr>
                <w:color w:val="000000"/>
                <w:sz w:val="18"/>
                <w:szCs w:val="18"/>
              </w:rPr>
              <w:t>预算内容与部门职责匹配，得</w:t>
            </w:r>
            <w:r>
              <w:rPr>
                <w:color w:val="000000"/>
                <w:sz w:val="18"/>
                <w:szCs w:val="18"/>
              </w:rPr>
              <w:t>1</w:t>
            </w:r>
            <w:r>
              <w:rPr>
                <w:color w:val="000000"/>
                <w:sz w:val="18"/>
                <w:szCs w:val="18"/>
              </w:rPr>
              <w:t>分；不匹配，得</w:t>
            </w:r>
            <w:r>
              <w:rPr>
                <w:color w:val="000000"/>
                <w:sz w:val="18"/>
                <w:szCs w:val="18"/>
              </w:rPr>
              <w:t>0</w:t>
            </w:r>
            <w:r>
              <w:rPr>
                <w:color w:val="000000"/>
                <w:sz w:val="18"/>
                <w:szCs w:val="18"/>
              </w:rPr>
              <w:t>分。</w:t>
            </w:r>
            <w:r>
              <w:rPr>
                <w:color w:val="000000"/>
                <w:sz w:val="18"/>
                <w:szCs w:val="18"/>
              </w:rPr>
              <w:t>2.</w:t>
            </w:r>
            <w:r>
              <w:rPr>
                <w:color w:val="000000"/>
                <w:sz w:val="18"/>
                <w:szCs w:val="18"/>
              </w:rPr>
              <w:t>预算编制与重点工作任务相匹配，得</w:t>
            </w:r>
            <w:r>
              <w:rPr>
                <w:color w:val="000000"/>
                <w:sz w:val="18"/>
                <w:szCs w:val="18"/>
              </w:rPr>
              <w:t>1</w:t>
            </w:r>
            <w:r>
              <w:rPr>
                <w:color w:val="000000"/>
                <w:sz w:val="18"/>
                <w:szCs w:val="18"/>
              </w:rPr>
              <w:t>分；不匹配，得</w:t>
            </w:r>
            <w:r>
              <w:rPr>
                <w:color w:val="000000"/>
                <w:sz w:val="18"/>
                <w:szCs w:val="18"/>
              </w:rPr>
              <w:t>0</w:t>
            </w:r>
            <w:r>
              <w:rPr>
                <w:color w:val="000000"/>
                <w:sz w:val="18"/>
                <w:szCs w:val="18"/>
              </w:rPr>
              <w:t>分。</w:t>
            </w:r>
          </w:p>
        </w:tc>
        <w:tc>
          <w:tcPr>
            <w:tcW w:w="964" w:type="pct"/>
            <w:tcBorders>
              <w:top w:val="single" w:sz="4" w:space="0" w:color="auto"/>
              <w:left w:val="single" w:sz="4" w:space="0" w:color="auto"/>
              <w:bottom w:val="single" w:sz="4" w:space="0" w:color="auto"/>
              <w:right w:val="single" w:sz="4" w:space="0" w:color="auto"/>
            </w:tcBorders>
            <w:vAlign w:val="center"/>
          </w:tcPr>
          <w:p w14:paraId="0586E04F" w14:textId="77777777" w:rsidR="00260726" w:rsidRDefault="00E936D8">
            <w:pPr>
              <w:widowControl/>
              <w:adjustRightInd w:val="0"/>
              <w:snapToGrid w:val="0"/>
              <w:jc w:val="left"/>
              <w:rPr>
                <w:color w:val="000000"/>
                <w:kern w:val="0"/>
                <w:sz w:val="18"/>
                <w:szCs w:val="18"/>
              </w:rPr>
            </w:pPr>
            <w:r>
              <w:rPr>
                <w:color w:val="000000"/>
                <w:kern w:val="0"/>
                <w:sz w:val="18"/>
                <w:szCs w:val="18"/>
              </w:rPr>
              <w:t>预算内容与部门职责匹配，预算编制与重点工作任务相匹配。</w:t>
            </w:r>
          </w:p>
        </w:tc>
        <w:tc>
          <w:tcPr>
            <w:tcW w:w="239" w:type="pct"/>
            <w:tcBorders>
              <w:top w:val="single" w:sz="4" w:space="0" w:color="auto"/>
              <w:left w:val="single" w:sz="4" w:space="0" w:color="auto"/>
              <w:bottom w:val="single" w:sz="4" w:space="0" w:color="auto"/>
              <w:right w:val="single" w:sz="4" w:space="0" w:color="auto"/>
            </w:tcBorders>
            <w:vAlign w:val="center"/>
          </w:tcPr>
          <w:p w14:paraId="14B26EFA"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32972352" w14:textId="77777777">
        <w:trPr>
          <w:trHeight w:val="634"/>
        </w:trPr>
        <w:tc>
          <w:tcPr>
            <w:tcW w:w="267" w:type="pct"/>
            <w:vMerge w:val="restart"/>
            <w:tcBorders>
              <w:top w:val="single" w:sz="4" w:space="0" w:color="auto"/>
              <w:left w:val="single" w:sz="4" w:space="0" w:color="auto"/>
              <w:bottom w:val="single" w:sz="4" w:space="0" w:color="auto"/>
              <w:right w:val="single" w:sz="4" w:space="0" w:color="auto"/>
            </w:tcBorders>
            <w:vAlign w:val="center"/>
          </w:tcPr>
          <w:p w14:paraId="3AD18E69" w14:textId="77777777" w:rsidR="00260726" w:rsidRDefault="00E936D8">
            <w:pPr>
              <w:widowControl/>
              <w:adjustRightInd w:val="0"/>
              <w:snapToGrid w:val="0"/>
              <w:jc w:val="center"/>
              <w:rPr>
                <w:color w:val="000000"/>
                <w:kern w:val="0"/>
                <w:sz w:val="18"/>
                <w:szCs w:val="18"/>
              </w:rPr>
            </w:pPr>
            <w:r>
              <w:rPr>
                <w:color w:val="000000"/>
                <w:kern w:val="0"/>
                <w:sz w:val="18"/>
                <w:szCs w:val="18"/>
              </w:rPr>
              <w:lastRenderedPageBreak/>
              <w:t>过程</w:t>
            </w: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414B9B20" w14:textId="77777777" w:rsidR="00260726" w:rsidRDefault="00E936D8">
            <w:pPr>
              <w:widowControl/>
              <w:adjustRightInd w:val="0"/>
              <w:snapToGrid w:val="0"/>
              <w:jc w:val="center"/>
              <w:rPr>
                <w:color w:val="000000"/>
                <w:kern w:val="0"/>
                <w:sz w:val="18"/>
                <w:szCs w:val="18"/>
              </w:rPr>
            </w:pPr>
            <w:r>
              <w:rPr>
                <w:color w:val="000000"/>
                <w:kern w:val="0"/>
                <w:sz w:val="18"/>
                <w:szCs w:val="18"/>
              </w:rPr>
              <w:t>预算执行</w:t>
            </w:r>
          </w:p>
        </w:tc>
        <w:tc>
          <w:tcPr>
            <w:tcW w:w="483" w:type="pct"/>
            <w:tcBorders>
              <w:top w:val="single" w:sz="4" w:space="0" w:color="auto"/>
              <w:left w:val="nil"/>
              <w:bottom w:val="single" w:sz="4" w:space="0" w:color="auto"/>
              <w:right w:val="single" w:sz="4" w:space="0" w:color="auto"/>
            </w:tcBorders>
            <w:vAlign w:val="center"/>
          </w:tcPr>
          <w:p w14:paraId="1B207B38" w14:textId="77777777" w:rsidR="00260726" w:rsidRDefault="00E936D8">
            <w:pPr>
              <w:widowControl/>
              <w:adjustRightInd w:val="0"/>
              <w:snapToGrid w:val="0"/>
              <w:jc w:val="center"/>
              <w:rPr>
                <w:color w:val="000000"/>
                <w:kern w:val="0"/>
                <w:sz w:val="18"/>
                <w:szCs w:val="18"/>
              </w:rPr>
            </w:pPr>
            <w:r>
              <w:rPr>
                <w:color w:val="000000"/>
                <w:kern w:val="0"/>
                <w:sz w:val="18"/>
                <w:szCs w:val="18"/>
              </w:rPr>
              <w:t>非税收入及时上缴</w:t>
            </w:r>
          </w:p>
        </w:tc>
        <w:tc>
          <w:tcPr>
            <w:tcW w:w="288" w:type="pct"/>
            <w:tcBorders>
              <w:top w:val="single" w:sz="4" w:space="0" w:color="auto"/>
              <w:left w:val="nil"/>
              <w:bottom w:val="single" w:sz="4" w:space="0" w:color="auto"/>
              <w:right w:val="single" w:sz="4" w:space="0" w:color="auto"/>
            </w:tcBorders>
            <w:vAlign w:val="center"/>
          </w:tcPr>
          <w:p w14:paraId="4BBB9B93" w14:textId="77777777" w:rsidR="00260726" w:rsidRDefault="00E936D8">
            <w:pPr>
              <w:widowControl/>
              <w:adjustRightInd w:val="0"/>
              <w:snapToGrid w:val="0"/>
              <w:jc w:val="center"/>
              <w:rPr>
                <w:color w:val="000000"/>
                <w:kern w:val="0"/>
                <w:sz w:val="18"/>
                <w:szCs w:val="18"/>
              </w:rPr>
            </w:pPr>
            <w:r>
              <w:rPr>
                <w:color w:val="000000"/>
                <w:kern w:val="0"/>
                <w:sz w:val="18"/>
                <w:szCs w:val="18"/>
              </w:rPr>
              <w:t>＝</w:t>
            </w:r>
            <w:r>
              <w:rPr>
                <w:color w:val="000000"/>
                <w:kern w:val="0"/>
                <w:sz w:val="18"/>
                <w:szCs w:val="18"/>
              </w:rPr>
              <w:t>100%</w:t>
            </w:r>
          </w:p>
        </w:tc>
        <w:tc>
          <w:tcPr>
            <w:tcW w:w="192" w:type="pct"/>
            <w:tcBorders>
              <w:top w:val="single" w:sz="4" w:space="0" w:color="auto"/>
              <w:left w:val="nil"/>
              <w:bottom w:val="single" w:sz="4" w:space="0" w:color="auto"/>
              <w:right w:val="single" w:sz="4" w:space="0" w:color="auto"/>
            </w:tcBorders>
            <w:vAlign w:val="center"/>
          </w:tcPr>
          <w:p w14:paraId="25484067"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nil"/>
              <w:bottom w:val="single" w:sz="4" w:space="0" w:color="auto"/>
              <w:right w:val="single" w:sz="4" w:space="0" w:color="auto"/>
            </w:tcBorders>
            <w:vAlign w:val="center"/>
          </w:tcPr>
          <w:p w14:paraId="705C73B1" w14:textId="77777777" w:rsidR="00260726" w:rsidRDefault="00E936D8">
            <w:pPr>
              <w:adjustRightInd w:val="0"/>
              <w:snapToGrid w:val="0"/>
              <w:rPr>
                <w:color w:val="000000"/>
                <w:sz w:val="18"/>
                <w:szCs w:val="18"/>
              </w:rPr>
            </w:pPr>
            <w:r>
              <w:rPr>
                <w:color w:val="000000"/>
                <w:sz w:val="18"/>
                <w:szCs w:val="18"/>
              </w:rPr>
              <w:t>非税收入及时足额上缴，得</w:t>
            </w:r>
            <w:r>
              <w:rPr>
                <w:color w:val="000000"/>
                <w:sz w:val="18"/>
                <w:szCs w:val="18"/>
              </w:rPr>
              <w:t>2</w:t>
            </w:r>
            <w:r>
              <w:rPr>
                <w:color w:val="000000"/>
                <w:sz w:val="18"/>
                <w:szCs w:val="18"/>
              </w:rPr>
              <w:t>分；存在未及时足额上缴情况，不得分。</w:t>
            </w:r>
          </w:p>
        </w:tc>
        <w:tc>
          <w:tcPr>
            <w:tcW w:w="964" w:type="pct"/>
            <w:tcBorders>
              <w:top w:val="single" w:sz="4" w:space="0" w:color="auto"/>
              <w:left w:val="nil"/>
              <w:bottom w:val="single" w:sz="4" w:space="0" w:color="auto"/>
              <w:right w:val="single" w:sz="4" w:space="0" w:color="auto"/>
            </w:tcBorders>
            <w:noWrap/>
            <w:vAlign w:val="center"/>
          </w:tcPr>
          <w:p w14:paraId="48079ABD" w14:textId="77777777" w:rsidR="00260726" w:rsidRDefault="00E936D8">
            <w:pPr>
              <w:widowControl/>
              <w:adjustRightInd w:val="0"/>
              <w:snapToGrid w:val="0"/>
              <w:jc w:val="left"/>
              <w:rPr>
                <w:color w:val="000000"/>
                <w:kern w:val="0"/>
                <w:sz w:val="18"/>
                <w:szCs w:val="18"/>
              </w:rPr>
            </w:pPr>
            <w:r>
              <w:rPr>
                <w:color w:val="000000"/>
                <w:kern w:val="0"/>
                <w:sz w:val="18"/>
                <w:szCs w:val="18"/>
              </w:rPr>
              <w:t>非税收入及时足额上缴</w:t>
            </w:r>
          </w:p>
        </w:tc>
        <w:tc>
          <w:tcPr>
            <w:tcW w:w="239" w:type="pct"/>
            <w:tcBorders>
              <w:top w:val="single" w:sz="4" w:space="0" w:color="auto"/>
              <w:left w:val="nil"/>
              <w:bottom w:val="single" w:sz="4" w:space="0" w:color="auto"/>
              <w:right w:val="single" w:sz="4" w:space="0" w:color="auto"/>
            </w:tcBorders>
            <w:noWrap/>
            <w:vAlign w:val="center"/>
          </w:tcPr>
          <w:p w14:paraId="1609AB8F"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0E857AEF"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6726EFED"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3D6FADFF"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2FB053FD" w14:textId="77777777" w:rsidR="00260726" w:rsidRDefault="00E936D8">
            <w:pPr>
              <w:widowControl/>
              <w:adjustRightInd w:val="0"/>
              <w:snapToGrid w:val="0"/>
              <w:jc w:val="center"/>
              <w:rPr>
                <w:color w:val="000000"/>
                <w:kern w:val="0"/>
                <w:sz w:val="18"/>
                <w:szCs w:val="18"/>
              </w:rPr>
            </w:pPr>
            <w:r>
              <w:rPr>
                <w:color w:val="000000"/>
                <w:kern w:val="0"/>
                <w:sz w:val="18"/>
                <w:szCs w:val="18"/>
              </w:rPr>
              <w:t>部门预算资金到位率</w:t>
            </w:r>
          </w:p>
        </w:tc>
        <w:tc>
          <w:tcPr>
            <w:tcW w:w="288" w:type="pct"/>
            <w:tcBorders>
              <w:top w:val="nil"/>
              <w:left w:val="nil"/>
              <w:bottom w:val="single" w:sz="4" w:space="0" w:color="auto"/>
              <w:right w:val="single" w:sz="4" w:space="0" w:color="auto"/>
            </w:tcBorders>
            <w:vAlign w:val="center"/>
          </w:tcPr>
          <w:p w14:paraId="58F04F27" w14:textId="77777777" w:rsidR="00260726" w:rsidRDefault="00E936D8">
            <w:pPr>
              <w:widowControl/>
              <w:adjustRightInd w:val="0"/>
              <w:snapToGrid w:val="0"/>
              <w:jc w:val="center"/>
              <w:rPr>
                <w:color w:val="000000"/>
                <w:kern w:val="0"/>
                <w:sz w:val="18"/>
                <w:szCs w:val="18"/>
              </w:rPr>
            </w:pPr>
            <w:r>
              <w:rPr>
                <w:color w:val="000000"/>
                <w:kern w:val="0"/>
                <w:sz w:val="18"/>
                <w:szCs w:val="18"/>
              </w:rPr>
              <w:t>＝</w:t>
            </w:r>
            <w:r>
              <w:rPr>
                <w:color w:val="000000"/>
                <w:kern w:val="0"/>
                <w:sz w:val="18"/>
                <w:szCs w:val="18"/>
              </w:rPr>
              <w:t>100%</w:t>
            </w:r>
          </w:p>
        </w:tc>
        <w:tc>
          <w:tcPr>
            <w:tcW w:w="192" w:type="pct"/>
            <w:tcBorders>
              <w:top w:val="nil"/>
              <w:left w:val="nil"/>
              <w:bottom w:val="single" w:sz="4" w:space="0" w:color="auto"/>
              <w:right w:val="single" w:sz="4" w:space="0" w:color="auto"/>
            </w:tcBorders>
            <w:vAlign w:val="center"/>
          </w:tcPr>
          <w:p w14:paraId="5CCB81F7"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61E1DCC3" w14:textId="77777777" w:rsidR="00260726" w:rsidRDefault="00E936D8">
            <w:pPr>
              <w:adjustRightInd w:val="0"/>
              <w:snapToGrid w:val="0"/>
              <w:rPr>
                <w:color w:val="000000"/>
                <w:sz w:val="18"/>
                <w:szCs w:val="18"/>
              </w:rPr>
            </w:pPr>
            <w:r>
              <w:rPr>
                <w:color w:val="000000"/>
                <w:sz w:val="18"/>
                <w:szCs w:val="18"/>
              </w:rPr>
              <w:t>实际到位资金与预算资金的比率，用以反映和考核资金落实情况对项目实施的总体保障程度。到位比率</w:t>
            </w:r>
            <w:r>
              <w:rPr>
                <w:color w:val="000000"/>
                <w:sz w:val="18"/>
                <w:szCs w:val="18"/>
              </w:rPr>
              <w:t>*</w:t>
            </w:r>
            <w:r>
              <w:rPr>
                <w:color w:val="000000"/>
                <w:sz w:val="18"/>
                <w:szCs w:val="18"/>
              </w:rPr>
              <w:t>权重</w:t>
            </w:r>
            <w:r>
              <w:rPr>
                <w:color w:val="000000"/>
                <w:sz w:val="18"/>
                <w:szCs w:val="18"/>
              </w:rPr>
              <w:t>=</w:t>
            </w:r>
            <w:r>
              <w:rPr>
                <w:color w:val="000000"/>
                <w:sz w:val="18"/>
                <w:szCs w:val="18"/>
              </w:rPr>
              <w:t>得分。</w:t>
            </w:r>
          </w:p>
        </w:tc>
        <w:tc>
          <w:tcPr>
            <w:tcW w:w="964" w:type="pct"/>
            <w:tcBorders>
              <w:top w:val="nil"/>
              <w:left w:val="nil"/>
              <w:bottom w:val="single" w:sz="4" w:space="0" w:color="auto"/>
              <w:right w:val="single" w:sz="4" w:space="0" w:color="auto"/>
            </w:tcBorders>
            <w:vAlign w:val="center"/>
          </w:tcPr>
          <w:p w14:paraId="37328F45" w14:textId="77777777" w:rsidR="00260726" w:rsidRDefault="00E936D8">
            <w:pPr>
              <w:widowControl/>
              <w:adjustRightInd w:val="0"/>
              <w:snapToGrid w:val="0"/>
              <w:jc w:val="left"/>
              <w:rPr>
                <w:color w:val="000000"/>
                <w:kern w:val="0"/>
                <w:sz w:val="18"/>
                <w:szCs w:val="18"/>
              </w:rPr>
            </w:pPr>
            <w:r>
              <w:rPr>
                <w:color w:val="000000"/>
                <w:kern w:val="0"/>
                <w:sz w:val="18"/>
                <w:szCs w:val="18"/>
              </w:rPr>
              <w:t>部门预算资金到位率</w:t>
            </w:r>
            <w:r>
              <w:rPr>
                <w:color w:val="000000"/>
                <w:kern w:val="0"/>
                <w:sz w:val="18"/>
                <w:szCs w:val="18"/>
              </w:rPr>
              <w:t>100%</w:t>
            </w:r>
          </w:p>
        </w:tc>
        <w:tc>
          <w:tcPr>
            <w:tcW w:w="239" w:type="pct"/>
            <w:tcBorders>
              <w:top w:val="nil"/>
              <w:left w:val="nil"/>
              <w:bottom w:val="single" w:sz="4" w:space="0" w:color="auto"/>
              <w:right w:val="single" w:sz="4" w:space="0" w:color="auto"/>
            </w:tcBorders>
            <w:noWrap/>
            <w:vAlign w:val="center"/>
          </w:tcPr>
          <w:p w14:paraId="3B4A667B"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029EB127"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2BE531CD"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50E09542"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37BCBC0C"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“三公”经费</w:t>
            </w:r>
            <w:r>
              <w:rPr>
                <w:color w:val="000000"/>
                <w:kern w:val="0"/>
                <w:sz w:val="18"/>
                <w:szCs w:val="18"/>
              </w:rPr>
              <w:t>控制率</w:t>
            </w:r>
          </w:p>
        </w:tc>
        <w:tc>
          <w:tcPr>
            <w:tcW w:w="288" w:type="pct"/>
            <w:tcBorders>
              <w:top w:val="nil"/>
              <w:left w:val="nil"/>
              <w:bottom w:val="single" w:sz="4" w:space="0" w:color="auto"/>
              <w:right w:val="single" w:sz="4" w:space="0" w:color="auto"/>
            </w:tcBorders>
            <w:vAlign w:val="center"/>
          </w:tcPr>
          <w:p w14:paraId="499D73BF" w14:textId="77777777" w:rsidR="00260726" w:rsidRDefault="00E936D8">
            <w:pPr>
              <w:widowControl/>
              <w:adjustRightInd w:val="0"/>
              <w:snapToGrid w:val="0"/>
              <w:jc w:val="center"/>
              <w:rPr>
                <w:color w:val="000000"/>
                <w:kern w:val="0"/>
                <w:sz w:val="18"/>
                <w:szCs w:val="18"/>
              </w:rPr>
            </w:pPr>
            <w:r>
              <w:rPr>
                <w:color w:val="000000"/>
                <w:kern w:val="0"/>
                <w:sz w:val="18"/>
                <w:szCs w:val="18"/>
              </w:rPr>
              <w:t>≤100%</w:t>
            </w:r>
          </w:p>
        </w:tc>
        <w:tc>
          <w:tcPr>
            <w:tcW w:w="192" w:type="pct"/>
            <w:tcBorders>
              <w:top w:val="nil"/>
              <w:left w:val="nil"/>
              <w:bottom w:val="single" w:sz="4" w:space="0" w:color="auto"/>
              <w:right w:val="single" w:sz="4" w:space="0" w:color="auto"/>
            </w:tcBorders>
            <w:noWrap/>
            <w:vAlign w:val="center"/>
          </w:tcPr>
          <w:p w14:paraId="09F10AC7"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2D187153" w14:textId="77777777" w:rsidR="00260726" w:rsidRDefault="00E936D8">
            <w:pPr>
              <w:adjustRightInd w:val="0"/>
              <w:snapToGrid w:val="0"/>
              <w:rPr>
                <w:color w:val="000000"/>
                <w:sz w:val="18"/>
                <w:szCs w:val="18"/>
              </w:rPr>
            </w:pPr>
            <w:r>
              <w:rPr>
                <w:color w:val="000000"/>
                <w:sz w:val="18"/>
                <w:szCs w:val="18"/>
              </w:rPr>
              <w:t>“</w:t>
            </w:r>
            <w:r>
              <w:rPr>
                <w:color w:val="000000"/>
                <w:sz w:val="18"/>
                <w:szCs w:val="18"/>
              </w:rPr>
              <w:t>三公</w:t>
            </w:r>
            <w:r>
              <w:rPr>
                <w:color w:val="000000"/>
                <w:sz w:val="18"/>
                <w:szCs w:val="18"/>
              </w:rPr>
              <w:t>”</w:t>
            </w:r>
            <w:r>
              <w:rPr>
                <w:color w:val="000000"/>
                <w:sz w:val="18"/>
                <w:szCs w:val="18"/>
              </w:rPr>
              <w:t>经费控制率在</w:t>
            </w:r>
            <w:r>
              <w:rPr>
                <w:color w:val="000000"/>
                <w:sz w:val="18"/>
                <w:szCs w:val="18"/>
              </w:rPr>
              <w:t>100%</w:t>
            </w:r>
            <w:r>
              <w:rPr>
                <w:color w:val="000000"/>
                <w:sz w:val="18"/>
                <w:szCs w:val="18"/>
              </w:rPr>
              <w:t>（含）以下，得满分；每超出</w:t>
            </w:r>
            <w:r>
              <w:rPr>
                <w:color w:val="000000"/>
                <w:sz w:val="18"/>
                <w:szCs w:val="18"/>
              </w:rPr>
              <w:t>1%</w:t>
            </w:r>
            <w:r>
              <w:rPr>
                <w:color w:val="000000"/>
                <w:sz w:val="18"/>
                <w:szCs w:val="18"/>
              </w:rPr>
              <w:t>扣除</w:t>
            </w:r>
            <w:r>
              <w:rPr>
                <w:color w:val="000000"/>
                <w:sz w:val="18"/>
                <w:szCs w:val="18"/>
              </w:rPr>
              <w:t>5%</w:t>
            </w:r>
            <w:r>
              <w:rPr>
                <w:color w:val="000000"/>
                <w:sz w:val="18"/>
                <w:szCs w:val="18"/>
              </w:rPr>
              <w:t>的权重分，扣完为止。</w:t>
            </w:r>
          </w:p>
        </w:tc>
        <w:tc>
          <w:tcPr>
            <w:tcW w:w="964" w:type="pct"/>
            <w:tcBorders>
              <w:top w:val="nil"/>
              <w:left w:val="nil"/>
              <w:bottom w:val="single" w:sz="4" w:space="0" w:color="auto"/>
              <w:right w:val="single" w:sz="4" w:space="0" w:color="auto"/>
            </w:tcBorders>
            <w:vAlign w:val="center"/>
          </w:tcPr>
          <w:p w14:paraId="4ED2FED3" w14:textId="77777777" w:rsidR="00260726" w:rsidRDefault="00E936D8">
            <w:pPr>
              <w:widowControl/>
              <w:adjustRightInd w:val="0"/>
              <w:snapToGrid w:val="0"/>
              <w:jc w:val="left"/>
              <w:rPr>
                <w:color w:val="000000"/>
                <w:kern w:val="0"/>
                <w:sz w:val="18"/>
                <w:szCs w:val="18"/>
              </w:rPr>
            </w:pPr>
            <w:r>
              <w:rPr>
                <w:rFonts w:hint="eastAsia"/>
                <w:color w:val="000000"/>
                <w:kern w:val="0"/>
                <w:sz w:val="18"/>
                <w:szCs w:val="18"/>
              </w:rPr>
              <w:t>“三公”经费</w:t>
            </w:r>
            <w:r>
              <w:rPr>
                <w:color w:val="000000"/>
                <w:kern w:val="0"/>
                <w:sz w:val="18"/>
                <w:szCs w:val="18"/>
              </w:rPr>
              <w:t>控制率</w:t>
            </w:r>
            <w:r>
              <w:rPr>
                <w:color w:val="000000"/>
                <w:kern w:val="0"/>
                <w:sz w:val="18"/>
                <w:szCs w:val="18"/>
                <w:shd w:val="clear" w:color="auto" w:fill="FFFFFF" w:themeFill="background1"/>
              </w:rPr>
              <w:t>100%</w:t>
            </w:r>
            <w:r>
              <w:rPr>
                <w:rFonts w:ascii="宋体" w:hAnsi="宋体" w:hint="eastAsia"/>
                <w:color w:val="000000"/>
                <w:kern w:val="0"/>
                <w:sz w:val="18"/>
                <w:szCs w:val="18"/>
                <w:shd w:val="clear" w:color="auto" w:fill="FFFFFF" w:themeFill="background1"/>
              </w:rPr>
              <w:t>以下。</w:t>
            </w:r>
          </w:p>
        </w:tc>
        <w:tc>
          <w:tcPr>
            <w:tcW w:w="239" w:type="pct"/>
            <w:tcBorders>
              <w:top w:val="nil"/>
              <w:left w:val="nil"/>
              <w:bottom w:val="single" w:sz="4" w:space="0" w:color="auto"/>
              <w:right w:val="single" w:sz="4" w:space="0" w:color="auto"/>
            </w:tcBorders>
            <w:noWrap/>
            <w:vAlign w:val="center"/>
          </w:tcPr>
          <w:p w14:paraId="134C46D7"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0A470AA2"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109F84AC"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256E2AD5"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68D37D1D" w14:textId="77777777" w:rsidR="00260726" w:rsidRDefault="00E936D8">
            <w:pPr>
              <w:widowControl/>
              <w:adjustRightInd w:val="0"/>
              <w:snapToGrid w:val="0"/>
              <w:jc w:val="center"/>
              <w:rPr>
                <w:color w:val="000000"/>
                <w:kern w:val="0"/>
                <w:sz w:val="18"/>
                <w:szCs w:val="18"/>
              </w:rPr>
            </w:pPr>
            <w:r>
              <w:rPr>
                <w:color w:val="000000"/>
                <w:kern w:val="0"/>
                <w:sz w:val="18"/>
                <w:szCs w:val="18"/>
              </w:rPr>
              <w:t>公用经费控制率</w:t>
            </w:r>
          </w:p>
        </w:tc>
        <w:tc>
          <w:tcPr>
            <w:tcW w:w="288" w:type="pct"/>
            <w:tcBorders>
              <w:top w:val="nil"/>
              <w:left w:val="nil"/>
              <w:bottom w:val="single" w:sz="4" w:space="0" w:color="auto"/>
              <w:right w:val="single" w:sz="4" w:space="0" w:color="auto"/>
            </w:tcBorders>
            <w:vAlign w:val="center"/>
          </w:tcPr>
          <w:p w14:paraId="495D6F19" w14:textId="77777777" w:rsidR="00260726" w:rsidRDefault="00E936D8">
            <w:pPr>
              <w:widowControl/>
              <w:adjustRightInd w:val="0"/>
              <w:snapToGrid w:val="0"/>
              <w:jc w:val="center"/>
              <w:rPr>
                <w:color w:val="000000"/>
                <w:kern w:val="0"/>
                <w:sz w:val="18"/>
                <w:szCs w:val="18"/>
              </w:rPr>
            </w:pPr>
            <w:r>
              <w:rPr>
                <w:color w:val="000000"/>
                <w:kern w:val="0"/>
                <w:sz w:val="18"/>
                <w:szCs w:val="18"/>
              </w:rPr>
              <w:t>≤100%</w:t>
            </w:r>
          </w:p>
        </w:tc>
        <w:tc>
          <w:tcPr>
            <w:tcW w:w="192" w:type="pct"/>
            <w:tcBorders>
              <w:top w:val="nil"/>
              <w:left w:val="nil"/>
              <w:bottom w:val="single" w:sz="4" w:space="0" w:color="auto"/>
              <w:right w:val="single" w:sz="4" w:space="0" w:color="auto"/>
            </w:tcBorders>
            <w:noWrap/>
            <w:vAlign w:val="center"/>
          </w:tcPr>
          <w:p w14:paraId="2B8D64BF"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36CDB368" w14:textId="77777777" w:rsidR="00260726" w:rsidRDefault="00E936D8">
            <w:pPr>
              <w:adjustRightInd w:val="0"/>
              <w:snapToGrid w:val="0"/>
              <w:rPr>
                <w:color w:val="000000"/>
                <w:sz w:val="18"/>
                <w:szCs w:val="18"/>
              </w:rPr>
            </w:pPr>
            <w:r>
              <w:rPr>
                <w:color w:val="000000"/>
                <w:sz w:val="18"/>
                <w:szCs w:val="18"/>
              </w:rPr>
              <w:t>公用经费控制率在</w:t>
            </w:r>
            <w:r>
              <w:rPr>
                <w:color w:val="000000"/>
                <w:sz w:val="18"/>
                <w:szCs w:val="18"/>
              </w:rPr>
              <w:t>100%</w:t>
            </w:r>
            <w:r>
              <w:rPr>
                <w:color w:val="000000"/>
                <w:sz w:val="18"/>
                <w:szCs w:val="18"/>
              </w:rPr>
              <w:t>（含）以下，得满分；每超出</w:t>
            </w:r>
            <w:r>
              <w:rPr>
                <w:color w:val="000000"/>
                <w:sz w:val="18"/>
                <w:szCs w:val="18"/>
              </w:rPr>
              <w:t>1%</w:t>
            </w:r>
            <w:r>
              <w:rPr>
                <w:color w:val="000000"/>
                <w:sz w:val="18"/>
                <w:szCs w:val="18"/>
              </w:rPr>
              <w:t>扣除</w:t>
            </w:r>
            <w:r>
              <w:rPr>
                <w:color w:val="000000"/>
                <w:sz w:val="18"/>
                <w:szCs w:val="18"/>
              </w:rPr>
              <w:t>5%</w:t>
            </w:r>
            <w:r>
              <w:rPr>
                <w:color w:val="000000"/>
                <w:sz w:val="18"/>
                <w:szCs w:val="18"/>
              </w:rPr>
              <w:t>的权重分，扣完为止。</w:t>
            </w:r>
          </w:p>
        </w:tc>
        <w:tc>
          <w:tcPr>
            <w:tcW w:w="964" w:type="pct"/>
            <w:tcBorders>
              <w:top w:val="nil"/>
              <w:left w:val="nil"/>
              <w:bottom w:val="single" w:sz="4" w:space="0" w:color="auto"/>
              <w:right w:val="single" w:sz="4" w:space="0" w:color="auto"/>
            </w:tcBorders>
            <w:vAlign w:val="center"/>
          </w:tcPr>
          <w:p w14:paraId="4AA0CCF5" w14:textId="77777777" w:rsidR="00260726" w:rsidRDefault="00E936D8">
            <w:pPr>
              <w:widowControl/>
              <w:adjustRightInd w:val="0"/>
              <w:snapToGrid w:val="0"/>
              <w:jc w:val="left"/>
              <w:rPr>
                <w:color w:val="000000"/>
                <w:kern w:val="0"/>
                <w:sz w:val="18"/>
                <w:szCs w:val="18"/>
              </w:rPr>
            </w:pPr>
            <w:r>
              <w:rPr>
                <w:rFonts w:ascii="宋体" w:hAnsi="宋体" w:hint="eastAsia"/>
                <w:color w:val="000000"/>
                <w:kern w:val="0"/>
                <w:sz w:val="18"/>
                <w:szCs w:val="18"/>
                <w:shd w:val="clear" w:color="auto" w:fill="FFFFFF" w:themeFill="background1"/>
              </w:rPr>
              <w:t>公用经费控制率在</w:t>
            </w:r>
            <w:r>
              <w:rPr>
                <w:color w:val="000000"/>
                <w:kern w:val="0"/>
                <w:sz w:val="18"/>
                <w:szCs w:val="18"/>
                <w:shd w:val="clear" w:color="auto" w:fill="FFFFFF" w:themeFill="background1"/>
              </w:rPr>
              <w:t>100%</w:t>
            </w:r>
            <w:r>
              <w:rPr>
                <w:rFonts w:ascii="宋体" w:hAnsi="宋体" w:hint="eastAsia"/>
                <w:color w:val="000000"/>
                <w:kern w:val="0"/>
                <w:sz w:val="18"/>
                <w:szCs w:val="18"/>
                <w:shd w:val="clear" w:color="auto" w:fill="FFFFFF" w:themeFill="background1"/>
              </w:rPr>
              <w:t>以下。</w:t>
            </w:r>
          </w:p>
        </w:tc>
        <w:tc>
          <w:tcPr>
            <w:tcW w:w="239" w:type="pct"/>
            <w:tcBorders>
              <w:top w:val="nil"/>
              <w:left w:val="nil"/>
              <w:bottom w:val="single" w:sz="4" w:space="0" w:color="auto"/>
              <w:right w:val="single" w:sz="4" w:space="0" w:color="auto"/>
            </w:tcBorders>
            <w:noWrap/>
            <w:vAlign w:val="center"/>
          </w:tcPr>
          <w:p w14:paraId="7AB11286"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3DDB830C"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2451CF2F"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43067864"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597B9502" w14:textId="77777777" w:rsidR="00260726" w:rsidRDefault="00E936D8">
            <w:pPr>
              <w:widowControl/>
              <w:adjustRightInd w:val="0"/>
              <w:snapToGrid w:val="0"/>
              <w:jc w:val="center"/>
              <w:rPr>
                <w:color w:val="000000"/>
                <w:kern w:val="0"/>
                <w:sz w:val="18"/>
                <w:szCs w:val="18"/>
              </w:rPr>
            </w:pPr>
            <w:r>
              <w:rPr>
                <w:color w:val="000000"/>
                <w:kern w:val="0"/>
                <w:sz w:val="18"/>
                <w:szCs w:val="18"/>
              </w:rPr>
              <w:t>部门预算执行率</w:t>
            </w:r>
          </w:p>
        </w:tc>
        <w:tc>
          <w:tcPr>
            <w:tcW w:w="288" w:type="pct"/>
            <w:tcBorders>
              <w:top w:val="nil"/>
              <w:left w:val="nil"/>
              <w:bottom w:val="single" w:sz="4" w:space="0" w:color="auto"/>
              <w:right w:val="single" w:sz="4" w:space="0" w:color="auto"/>
            </w:tcBorders>
            <w:vAlign w:val="center"/>
          </w:tcPr>
          <w:p w14:paraId="4F25C0BA" w14:textId="77777777" w:rsidR="00260726" w:rsidRDefault="00E936D8">
            <w:pPr>
              <w:widowControl/>
              <w:adjustRightInd w:val="0"/>
              <w:snapToGrid w:val="0"/>
              <w:jc w:val="center"/>
              <w:rPr>
                <w:color w:val="000000"/>
                <w:kern w:val="0"/>
                <w:sz w:val="18"/>
                <w:szCs w:val="18"/>
              </w:rPr>
            </w:pPr>
            <w:r>
              <w:rPr>
                <w:color w:val="000000"/>
                <w:kern w:val="0"/>
                <w:sz w:val="18"/>
                <w:szCs w:val="18"/>
              </w:rPr>
              <w:t>＝</w:t>
            </w:r>
            <w:r>
              <w:rPr>
                <w:color w:val="000000"/>
                <w:kern w:val="0"/>
                <w:sz w:val="18"/>
                <w:szCs w:val="18"/>
              </w:rPr>
              <w:t>100%</w:t>
            </w:r>
          </w:p>
        </w:tc>
        <w:tc>
          <w:tcPr>
            <w:tcW w:w="192" w:type="pct"/>
            <w:tcBorders>
              <w:top w:val="nil"/>
              <w:left w:val="nil"/>
              <w:bottom w:val="single" w:sz="4" w:space="0" w:color="auto"/>
              <w:right w:val="single" w:sz="4" w:space="0" w:color="auto"/>
            </w:tcBorders>
            <w:noWrap/>
            <w:vAlign w:val="center"/>
          </w:tcPr>
          <w:p w14:paraId="24CA11C9"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2CC27A69" w14:textId="77777777" w:rsidR="00260726" w:rsidRDefault="00E936D8">
            <w:pPr>
              <w:adjustRightInd w:val="0"/>
              <w:snapToGrid w:val="0"/>
              <w:rPr>
                <w:color w:val="000000"/>
                <w:sz w:val="18"/>
                <w:szCs w:val="18"/>
              </w:rPr>
            </w:pPr>
            <w:r>
              <w:rPr>
                <w:color w:val="000000"/>
                <w:sz w:val="18"/>
                <w:szCs w:val="18"/>
              </w:rPr>
              <w:t>调整后部门预算执行率为</w:t>
            </w:r>
            <w:r>
              <w:rPr>
                <w:color w:val="000000"/>
                <w:sz w:val="18"/>
                <w:szCs w:val="18"/>
              </w:rPr>
              <w:t>100%</w:t>
            </w:r>
            <w:r>
              <w:rPr>
                <w:color w:val="000000"/>
                <w:sz w:val="18"/>
                <w:szCs w:val="18"/>
              </w:rPr>
              <w:t>，得</w:t>
            </w:r>
            <w:r>
              <w:rPr>
                <w:rFonts w:hint="eastAsia"/>
                <w:color w:val="000000"/>
                <w:sz w:val="18"/>
                <w:szCs w:val="18"/>
              </w:rPr>
              <w:t>2</w:t>
            </w:r>
            <w:r>
              <w:rPr>
                <w:color w:val="000000"/>
                <w:sz w:val="18"/>
                <w:szCs w:val="18"/>
              </w:rPr>
              <w:t>分；部门预算执行率没有达到</w:t>
            </w:r>
            <w:r>
              <w:rPr>
                <w:color w:val="000000"/>
                <w:sz w:val="18"/>
                <w:szCs w:val="18"/>
              </w:rPr>
              <w:t>100%</w:t>
            </w:r>
            <w:r>
              <w:rPr>
                <w:color w:val="000000"/>
                <w:sz w:val="18"/>
                <w:szCs w:val="18"/>
              </w:rPr>
              <w:t>，每低</w:t>
            </w:r>
            <w:r>
              <w:rPr>
                <w:color w:val="000000"/>
                <w:sz w:val="18"/>
                <w:szCs w:val="18"/>
              </w:rPr>
              <w:t>1%</w:t>
            </w:r>
            <w:r>
              <w:rPr>
                <w:color w:val="000000"/>
                <w:sz w:val="18"/>
                <w:szCs w:val="18"/>
              </w:rPr>
              <w:t>扣除</w:t>
            </w:r>
            <w:r>
              <w:rPr>
                <w:color w:val="000000"/>
                <w:sz w:val="18"/>
                <w:szCs w:val="18"/>
              </w:rPr>
              <w:t>5%</w:t>
            </w:r>
            <w:r>
              <w:rPr>
                <w:color w:val="000000"/>
                <w:sz w:val="18"/>
                <w:szCs w:val="18"/>
              </w:rPr>
              <w:t>得权重分，扣完为止。</w:t>
            </w:r>
          </w:p>
        </w:tc>
        <w:tc>
          <w:tcPr>
            <w:tcW w:w="964" w:type="pct"/>
            <w:tcBorders>
              <w:top w:val="nil"/>
              <w:left w:val="nil"/>
              <w:bottom w:val="single" w:sz="4" w:space="0" w:color="auto"/>
              <w:right w:val="single" w:sz="4" w:space="0" w:color="auto"/>
            </w:tcBorders>
            <w:vAlign w:val="center"/>
          </w:tcPr>
          <w:p w14:paraId="507C73B8" w14:textId="77777777" w:rsidR="00260726" w:rsidRDefault="00E936D8">
            <w:pPr>
              <w:widowControl/>
              <w:adjustRightInd w:val="0"/>
              <w:snapToGrid w:val="0"/>
              <w:jc w:val="left"/>
              <w:rPr>
                <w:color w:val="000000"/>
                <w:kern w:val="0"/>
                <w:sz w:val="18"/>
                <w:szCs w:val="18"/>
              </w:rPr>
            </w:pPr>
            <w:r>
              <w:rPr>
                <w:color w:val="000000"/>
                <w:kern w:val="0"/>
                <w:sz w:val="18"/>
                <w:szCs w:val="18"/>
              </w:rPr>
              <w:t>部门预算执行率</w:t>
            </w:r>
            <w:r>
              <w:rPr>
                <w:rFonts w:hint="eastAsia"/>
                <w:color w:val="000000"/>
                <w:kern w:val="0"/>
                <w:sz w:val="18"/>
                <w:szCs w:val="18"/>
              </w:rPr>
              <w:t>96.76</w:t>
            </w:r>
            <w:r>
              <w:rPr>
                <w:color w:val="000000"/>
                <w:kern w:val="0"/>
                <w:sz w:val="18"/>
                <w:szCs w:val="18"/>
              </w:rPr>
              <w:t>%</w:t>
            </w:r>
            <w:r>
              <w:rPr>
                <w:color w:val="000000"/>
                <w:kern w:val="0"/>
                <w:sz w:val="18"/>
                <w:szCs w:val="18"/>
              </w:rPr>
              <w:t>。</w:t>
            </w:r>
          </w:p>
        </w:tc>
        <w:tc>
          <w:tcPr>
            <w:tcW w:w="239" w:type="pct"/>
            <w:tcBorders>
              <w:top w:val="nil"/>
              <w:left w:val="nil"/>
              <w:bottom w:val="single" w:sz="4" w:space="0" w:color="auto"/>
              <w:right w:val="single" w:sz="4" w:space="0" w:color="auto"/>
            </w:tcBorders>
            <w:noWrap/>
            <w:vAlign w:val="center"/>
          </w:tcPr>
          <w:p w14:paraId="6A21BB7E" w14:textId="77777777" w:rsidR="00260726" w:rsidRDefault="00E936D8">
            <w:pPr>
              <w:widowControl/>
              <w:adjustRightInd w:val="0"/>
              <w:snapToGrid w:val="0"/>
              <w:jc w:val="center"/>
              <w:rPr>
                <w:color w:val="000000"/>
                <w:kern w:val="0"/>
                <w:sz w:val="18"/>
                <w:szCs w:val="18"/>
              </w:rPr>
            </w:pPr>
            <w:r>
              <w:rPr>
                <w:color w:val="000000"/>
                <w:kern w:val="0"/>
                <w:sz w:val="18"/>
                <w:szCs w:val="18"/>
              </w:rPr>
              <w:t>1.</w:t>
            </w:r>
            <w:r>
              <w:rPr>
                <w:rFonts w:hint="eastAsia"/>
                <w:color w:val="000000"/>
                <w:kern w:val="0"/>
                <w:sz w:val="18"/>
                <w:szCs w:val="18"/>
              </w:rPr>
              <w:t>7</w:t>
            </w:r>
          </w:p>
        </w:tc>
      </w:tr>
      <w:tr w:rsidR="00260726" w14:paraId="142914EC"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447E16AF"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5CB0C131" w14:textId="77777777" w:rsidR="00260726" w:rsidRDefault="00E936D8">
            <w:pPr>
              <w:widowControl/>
              <w:adjustRightInd w:val="0"/>
              <w:snapToGrid w:val="0"/>
              <w:jc w:val="center"/>
              <w:rPr>
                <w:color w:val="000000"/>
                <w:kern w:val="0"/>
                <w:sz w:val="18"/>
                <w:szCs w:val="18"/>
              </w:rPr>
            </w:pPr>
            <w:r>
              <w:rPr>
                <w:color w:val="000000"/>
                <w:kern w:val="0"/>
                <w:sz w:val="18"/>
                <w:szCs w:val="18"/>
              </w:rPr>
              <w:t>预算管理</w:t>
            </w:r>
          </w:p>
        </w:tc>
        <w:tc>
          <w:tcPr>
            <w:tcW w:w="483" w:type="pct"/>
            <w:tcBorders>
              <w:top w:val="single" w:sz="4" w:space="0" w:color="auto"/>
              <w:left w:val="nil"/>
              <w:bottom w:val="single" w:sz="4" w:space="0" w:color="auto"/>
              <w:right w:val="single" w:sz="4" w:space="0" w:color="auto"/>
            </w:tcBorders>
            <w:vAlign w:val="center"/>
          </w:tcPr>
          <w:p w14:paraId="34F78E66" w14:textId="77777777" w:rsidR="00260726" w:rsidRDefault="00E936D8">
            <w:pPr>
              <w:widowControl/>
              <w:adjustRightInd w:val="0"/>
              <w:snapToGrid w:val="0"/>
              <w:jc w:val="center"/>
              <w:rPr>
                <w:color w:val="000000"/>
                <w:kern w:val="0"/>
                <w:sz w:val="18"/>
                <w:szCs w:val="18"/>
              </w:rPr>
            </w:pPr>
            <w:r>
              <w:rPr>
                <w:color w:val="000000"/>
                <w:kern w:val="0"/>
                <w:sz w:val="18"/>
                <w:szCs w:val="18"/>
              </w:rPr>
              <w:t>预决算信息公开度</w:t>
            </w:r>
          </w:p>
        </w:tc>
        <w:tc>
          <w:tcPr>
            <w:tcW w:w="288" w:type="pct"/>
            <w:tcBorders>
              <w:top w:val="single" w:sz="4" w:space="0" w:color="auto"/>
              <w:left w:val="nil"/>
              <w:bottom w:val="single" w:sz="4" w:space="0" w:color="auto"/>
              <w:right w:val="single" w:sz="4" w:space="0" w:color="auto"/>
            </w:tcBorders>
            <w:vAlign w:val="center"/>
          </w:tcPr>
          <w:p w14:paraId="3BAECBC6" w14:textId="77777777" w:rsidR="00260726" w:rsidRDefault="00E936D8">
            <w:pPr>
              <w:widowControl/>
              <w:adjustRightInd w:val="0"/>
              <w:snapToGrid w:val="0"/>
              <w:jc w:val="center"/>
              <w:rPr>
                <w:color w:val="000000"/>
                <w:kern w:val="0"/>
                <w:sz w:val="18"/>
                <w:szCs w:val="18"/>
              </w:rPr>
            </w:pPr>
            <w:r>
              <w:rPr>
                <w:color w:val="000000"/>
                <w:kern w:val="0"/>
                <w:sz w:val="18"/>
                <w:szCs w:val="18"/>
              </w:rPr>
              <w:t>公开</w:t>
            </w:r>
          </w:p>
        </w:tc>
        <w:tc>
          <w:tcPr>
            <w:tcW w:w="192" w:type="pct"/>
            <w:tcBorders>
              <w:top w:val="single" w:sz="4" w:space="0" w:color="auto"/>
              <w:left w:val="nil"/>
              <w:bottom w:val="single" w:sz="4" w:space="0" w:color="auto"/>
              <w:right w:val="single" w:sz="4" w:space="0" w:color="auto"/>
            </w:tcBorders>
            <w:noWrap/>
            <w:vAlign w:val="center"/>
          </w:tcPr>
          <w:p w14:paraId="28D8D803"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56E58B94"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2</w:t>
            </w:r>
            <w:r>
              <w:rPr>
                <w:color w:val="000000"/>
                <w:sz w:val="18"/>
                <w:szCs w:val="18"/>
              </w:rPr>
              <w:t>项：</w:t>
            </w:r>
            <w:r>
              <w:rPr>
                <w:color w:val="000000"/>
                <w:sz w:val="18"/>
                <w:szCs w:val="18"/>
              </w:rPr>
              <w:t>1.</w:t>
            </w:r>
            <w:r>
              <w:rPr>
                <w:color w:val="000000"/>
                <w:sz w:val="18"/>
                <w:szCs w:val="18"/>
              </w:rPr>
              <w:t>预决算在</w:t>
            </w:r>
            <w:r>
              <w:rPr>
                <w:color w:val="000000"/>
                <w:sz w:val="18"/>
                <w:szCs w:val="18"/>
              </w:rPr>
              <w:t>“</w:t>
            </w:r>
            <w:r>
              <w:rPr>
                <w:color w:val="000000"/>
                <w:sz w:val="18"/>
                <w:szCs w:val="18"/>
              </w:rPr>
              <w:t>双平台</w:t>
            </w:r>
            <w:r>
              <w:rPr>
                <w:color w:val="000000"/>
                <w:sz w:val="18"/>
                <w:szCs w:val="18"/>
              </w:rPr>
              <w:t>”</w:t>
            </w:r>
            <w:r>
              <w:rPr>
                <w:color w:val="000000"/>
                <w:sz w:val="18"/>
                <w:szCs w:val="18"/>
              </w:rPr>
              <w:t>进行公开，得</w:t>
            </w:r>
            <w:r>
              <w:rPr>
                <w:color w:val="000000"/>
                <w:sz w:val="18"/>
                <w:szCs w:val="18"/>
              </w:rPr>
              <w:t>0.5</w:t>
            </w:r>
            <w:r>
              <w:rPr>
                <w:color w:val="000000"/>
                <w:sz w:val="18"/>
                <w:szCs w:val="18"/>
              </w:rPr>
              <w:t>分；未在</w:t>
            </w:r>
            <w:r>
              <w:rPr>
                <w:color w:val="000000"/>
                <w:sz w:val="18"/>
                <w:szCs w:val="18"/>
              </w:rPr>
              <w:t>“</w:t>
            </w:r>
            <w:r>
              <w:rPr>
                <w:color w:val="000000"/>
                <w:sz w:val="18"/>
                <w:szCs w:val="18"/>
              </w:rPr>
              <w:t>双平台</w:t>
            </w:r>
            <w:r>
              <w:rPr>
                <w:color w:val="000000"/>
                <w:sz w:val="18"/>
                <w:szCs w:val="18"/>
              </w:rPr>
              <w:t>”</w:t>
            </w:r>
            <w:r>
              <w:rPr>
                <w:color w:val="000000"/>
                <w:sz w:val="18"/>
                <w:szCs w:val="18"/>
              </w:rPr>
              <w:t>公开，得</w:t>
            </w:r>
            <w:r>
              <w:rPr>
                <w:color w:val="000000"/>
                <w:sz w:val="18"/>
                <w:szCs w:val="18"/>
              </w:rPr>
              <w:t>0</w:t>
            </w:r>
            <w:r>
              <w:rPr>
                <w:color w:val="000000"/>
                <w:sz w:val="18"/>
                <w:szCs w:val="18"/>
              </w:rPr>
              <w:t>分。</w:t>
            </w:r>
            <w:r>
              <w:rPr>
                <w:color w:val="000000"/>
                <w:sz w:val="18"/>
                <w:szCs w:val="18"/>
              </w:rPr>
              <w:t>2.</w:t>
            </w:r>
            <w:r>
              <w:rPr>
                <w:color w:val="000000"/>
                <w:sz w:val="18"/>
                <w:szCs w:val="18"/>
              </w:rPr>
              <w:t>预决算公开的内容和时限符合要求，得</w:t>
            </w:r>
            <w:r>
              <w:rPr>
                <w:color w:val="000000"/>
                <w:sz w:val="18"/>
                <w:szCs w:val="18"/>
              </w:rPr>
              <w:t>0.5</w:t>
            </w:r>
            <w:r>
              <w:rPr>
                <w:color w:val="000000"/>
                <w:sz w:val="18"/>
                <w:szCs w:val="18"/>
              </w:rPr>
              <w:t>分，不符合要求，得</w:t>
            </w:r>
            <w:r>
              <w:rPr>
                <w:color w:val="000000"/>
                <w:sz w:val="18"/>
                <w:szCs w:val="18"/>
              </w:rPr>
              <w:t>0</w:t>
            </w:r>
            <w:r>
              <w:rPr>
                <w:color w:val="000000"/>
                <w:sz w:val="18"/>
                <w:szCs w:val="18"/>
              </w:rPr>
              <w:t>分。</w:t>
            </w:r>
          </w:p>
        </w:tc>
        <w:tc>
          <w:tcPr>
            <w:tcW w:w="964" w:type="pct"/>
            <w:tcBorders>
              <w:top w:val="single" w:sz="4" w:space="0" w:color="auto"/>
              <w:left w:val="nil"/>
              <w:bottom w:val="single" w:sz="4" w:space="0" w:color="auto"/>
              <w:right w:val="single" w:sz="4" w:space="0" w:color="auto"/>
            </w:tcBorders>
            <w:vAlign w:val="center"/>
          </w:tcPr>
          <w:p w14:paraId="469105F9" w14:textId="77777777" w:rsidR="00260726" w:rsidRDefault="00E936D8">
            <w:pPr>
              <w:widowControl/>
              <w:adjustRightInd w:val="0"/>
              <w:snapToGrid w:val="0"/>
              <w:jc w:val="left"/>
              <w:rPr>
                <w:color w:val="000000"/>
                <w:kern w:val="0"/>
                <w:sz w:val="18"/>
                <w:szCs w:val="18"/>
              </w:rPr>
            </w:pPr>
            <w:r>
              <w:rPr>
                <w:color w:val="000000"/>
                <w:kern w:val="0"/>
                <w:sz w:val="18"/>
                <w:szCs w:val="18"/>
              </w:rPr>
              <w:t>预决算信息按要求公开。</w:t>
            </w:r>
          </w:p>
        </w:tc>
        <w:tc>
          <w:tcPr>
            <w:tcW w:w="239" w:type="pct"/>
            <w:tcBorders>
              <w:top w:val="single" w:sz="4" w:space="0" w:color="auto"/>
              <w:left w:val="nil"/>
              <w:bottom w:val="single" w:sz="4" w:space="0" w:color="auto"/>
              <w:right w:val="single" w:sz="4" w:space="0" w:color="auto"/>
            </w:tcBorders>
            <w:noWrap/>
            <w:vAlign w:val="center"/>
          </w:tcPr>
          <w:p w14:paraId="645AA860"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5DE2497A"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4E62316D"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5DBB65A3"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748B9BE3" w14:textId="77777777" w:rsidR="00260726" w:rsidRDefault="00E936D8">
            <w:pPr>
              <w:widowControl/>
              <w:adjustRightInd w:val="0"/>
              <w:snapToGrid w:val="0"/>
              <w:jc w:val="center"/>
              <w:rPr>
                <w:color w:val="000000"/>
                <w:kern w:val="0"/>
                <w:sz w:val="18"/>
                <w:szCs w:val="18"/>
              </w:rPr>
            </w:pPr>
            <w:r>
              <w:rPr>
                <w:color w:val="000000"/>
                <w:kern w:val="0"/>
                <w:sz w:val="18"/>
                <w:szCs w:val="18"/>
              </w:rPr>
              <w:t>预算管理制度健全性</w:t>
            </w:r>
          </w:p>
        </w:tc>
        <w:tc>
          <w:tcPr>
            <w:tcW w:w="288" w:type="pct"/>
            <w:tcBorders>
              <w:top w:val="single" w:sz="4" w:space="0" w:color="auto"/>
              <w:left w:val="nil"/>
              <w:bottom w:val="single" w:sz="4" w:space="0" w:color="auto"/>
              <w:right w:val="single" w:sz="4" w:space="0" w:color="auto"/>
            </w:tcBorders>
            <w:vAlign w:val="center"/>
          </w:tcPr>
          <w:p w14:paraId="12D8656C" w14:textId="77777777" w:rsidR="00260726" w:rsidRDefault="00E936D8">
            <w:pPr>
              <w:widowControl/>
              <w:adjustRightInd w:val="0"/>
              <w:snapToGrid w:val="0"/>
              <w:jc w:val="center"/>
              <w:rPr>
                <w:color w:val="000000"/>
                <w:kern w:val="0"/>
                <w:sz w:val="18"/>
                <w:szCs w:val="18"/>
              </w:rPr>
            </w:pPr>
            <w:r>
              <w:rPr>
                <w:color w:val="000000"/>
                <w:kern w:val="0"/>
                <w:sz w:val="18"/>
                <w:szCs w:val="18"/>
              </w:rPr>
              <w:t>健全</w:t>
            </w:r>
          </w:p>
        </w:tc>
        <w:tc>
          <w:tcPr>
            <w:tcW w:w="192" w:type="pct"/>
            <w:tcBorders>
              <w:top w:val="single" w:sz="4" w:space="0" w:color="auto"/>
              <w:left w:val="nil"/>
              <w:bottom w:val="single" w:sz="4" w:space="0" w:color="auto"/>
              <w:right w:val="single" w:sz="4" w:space="0" w:color="auto"/>
            </w:tcBorders>
            <w:noWrap/>
            <w:vAlign w:val="center"/>
          </w:tcPr>
          <w:p w14:paraId="467CA8FC"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62C2A743" w14:textId="77777777" w:rsidR="00260726" w:rsidRDefault="00E936D8">
            <w:pPr>
              <w:adjustRightInd w:val="0"/>
              <w:snapToGrid w:val="0"/>
              <w:rPr>
                <w:color w:val="000000"/>
                <w:sz w:val="18"/>
                <w:szCs w:val="18"/>
              </w:rPr>
            </w:pPr>
            <w:r>
              <w:rPr>
                <w:color w:val="000000"/>
                <w:sz w:val="18"/>
                <w:szCs w:val="18"/>
              </w:rPr>
              <w:t>已</w:t>
            </w:r>
            <w:r>
              <w:rPr>
                <w:rFonts w:hint="eastAsia"/>
                <w:color w:val="000000"/>
                <w:sz w:val="18"/>
                <w:szCs w:val="18"/>
              </w:rPr>
              <w:t>制定</w:t>
            </w:r>
            <w:r>
              <w:rPr>
                <w:color w:val="000000"/>
                <w:sz w:val="18"/>
                <w:szCs w:val="18"/>
              </w:rPr>
              <w:t>预算管理办法，得</w:t>
            </w:r>
            <w:r>
              <w:rPr>
                <w:color w:val="000000"/>
                <w:sz w:val="18"/>
                <w:szCs w:val="18"/>
              </w:rPr>
              <w:t>1</w:t>
            </w:r>
            <w:r>
              <w:rPr>
                <w:color w:val="000000"/>
                <w:sz w:val="18"/>
                <w:szCs w:val="18"/>
              </w:rPr>
              <w:t>分；未制定，得</w:t>
            </w:r>
            <w:r>
              <w:rPr>
                <w:color w:val="000000"/>
                <w:sz w:val="18"/>
                <w:szCs w:val="18"/>
              </w:rPr>
              <w:t>0</w:t>
            </w:r>
            <w:r>
              <w:rPr>
                <w:color w:val="000000"/>
                <w:sz w:val="18"/>
                <w:szCs w:val="18"/>
              </w:rPr>
              <w:t>分。</w:t>
            </w:r>
          </w:p>
        </w:tc>
        <w:tc>
          <w:tcPr>
            <w:tcW w:w="964" w:type="pct"/>
            <w:tcBorders>
              <w:top w:val="single" w:sz="4" w:space="0" w:color="auto"/>
              <w:left w:val="nil"/>
              <w:bottom w:val="single" w:sz="4" w:space="0" w:color="auto"/>
              <w:right w:val="single" w:sz="4" w:space="0" w:color="auto"/>
            </w:tcBorders>
            <w:vAlign w:val="center"/>
          </w:tcPr>
          <w:p w14:paraId="47C09032" w14:textId="77777777" w:rsidR="00260726" w:rsidRDefault="00E936D8">
            <w:pPr>
              <w:widowControl/>
              <w:adjustRightInd w:val="0"/>
              <w:snapToGrid w:val="0"/>
              <w:jc w:val="left"/>
              <w:rPr>
                <w:color w:val="000000"/>
                <w:kern w:val="0"/>
                <w:sz w:val="18"/>
                <w:szCs w:val="18"/>
              </w:rPr>
            </w:pPr>
            <w:r>
              <w:rPr>
                <w:color w:val="000000"/>
                <w:kern w:val="0"/>
                <w:sz w:val="18"/>
                <w:szCs w:val="18"/>
              </w:rPr>
              <w:t>已制订财务管理办法，对预算管理要求明确。</w:t>
            </w:r>
          </w:p>
        </w:tc>
        <w:tc>
          <w:tcPr>
            <w:tcW w:w="239" w:type="pct"/>
            <w:tcBorders>
              <w:top w:val="single" w:sz="4" w:space="0" w:color="auto"/>
              <w:left w:val="nil"/>
              <w:bottom w:val="single" w:sz="4" w:space="0" w:color="auto"/>
              <w:right w:val="single" w:sz="4" w:space="0" w:color="auto"/>
            </w:tcBorders>
            <w:noWrap/>
            <w:vAlign w:val="center"/>
          </w:tcPr>
          <w:p w14:paraId="4C56F07A"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25A555B9"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0BA18346"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3BBF568E"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6FD980CA" w14:textId="77777777" w:rsidR="00260726" w:rsidRDefault="00E936D8">
            <w:pPr>
              <w:widowControl/>
              <w:adjustRightInd w:val="0"/>
              <w:snapToGrid w:val="0"/>
              <w:jc w:val="center"/>
              <w:rPr>
                <w:color w:val="000000"/>
                <w:kern w:val="0"/>
                <w:sz w:val="18"/>
                <w:szCs w:val="18"/>
              </w:rPr>
            </w:pPr>
            <w:r>
              <w:rPr>
                <w:color w:val="000000"/>
                <w:kern w:val="0"/>
                <w:sz w:val="18"/>
                <w:szCs w:val="18"/>
              </w:rPr>
              <w:t>预算管理执行有效性</w:t>
            </w:r>
          </w:p>
        </w:tc>
        <w:tc>
          <w:tcPr>
            <w:tcW w:w="288" w:type="pct"/>
            <w:tcBorders>
              <w:top w:val="single" w:sz="4" w:space="0" w:color="auto"/>
              <w:left w:val="single" w:sz="4" w:space="0" w:color="auto"/>
              <w:bottom w:val="single" w:sz="4" w:space="0" w:color="auto"/>
              <w:right w:val="single" w:sz="4" w:space="0" w:color="auto"/>
            </w:tcBorders>
            <w:vAlign w:val="center"/>
          </w:tcPr>
          <w:p w14:paraId="47BC30AE" w14:textId="77777777" w:rsidR="00260726" w:rsidRDefault="00E936D8">
            <w:pPr>
              <w:widowControl/>
              <w:adjustRightInd w:val="0"/>
              <w:snapToGrid w:val="0"/>
              <w:jc w:val="center"/>
              <w:rPr>
                <w:color w:val="000000"/>
                <w:kern w:val="0"/>
                <w:sz w:val="18"/>
                <w:szCs w:val="18"/>
              </w:rPr>
            </w:pPr>
            <w:r>
              <w:rPr>
                <w:color w:val="000000"/>
                <w:kern w:val="0"/>
                <w:sz w:val="18"/>
                <w:szCs w:val="18"/>
              </w:rPr>
              <w:t>有效</w:t>
            </w:r>
          </w:p>
        </w:tc>
        <w:tc>
          <w:tcPr>
            <w:tcW w:w="192" w:type="pct"/>
            <w:tcBorders>
              <w:top w:val="single" w:sz="4" w:space="0" w:color="auto"/>
              <w:left w:val="single" w:sz="4" w:space="0" w:color="auto"/>
              <w:bottom w:val="single" w:sz="4" w:space="0" w:color="auto"/>
              <w:right w:val="single" w:sz="4" w:space="0" w:color="auto"/>
            </w:tcBorders>
            <w:noWrap/>
            <w:vAlign w:val="center"/>
          </w:tcPr>
          <w:p w14:paraId="28DFB3D7"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08CE02FD" w14:textId="77777777" w:rsidR="00260726" w:rsidRDefault="00E936D8">
            <w:pPr>
              <w:adjustRightInd w:val="0"/>
              <w:snapToGrid w:val="0"/>
              <w:rPr>
                <w:color w:val="000000"/>
                <w:sz w:val="18"/>
                <w:szCs w:val="18"/>
              </w:rPr>
            </w:pPr>
            <w:r>
              <w:rPr>
                <w:color w:val="000000"/>
                <w:sz w:val="18"/>
                <w:szCs w:val="18"/>
              </w:rPr>
              <w:t>预算管理是否符合相关的财务管理制度规定，存在审计或其他检查发现违反预算规定情况，每发现一例扣除</w:t>
            </w:r>
            <w:r>
              <w:rPr>
                <w:color w:val="000000"/>
                <w:sz w:val="18"/>
                <w:szCs w:val="18"/>
              </w:rPr>
              <w:t>0.2</w:t>
            </w:r>
            <w:r>
              <w:rPr>
                <w:color w:val="000000"/>
                <w:sz w:val="18"/>
                <w:szCs w:val="18"/>
              </w:rPr>
              <w:t>分，扣完为止。</w:t>
            </w:r>
          </w:p>
        </w:tc>
        <w:tc>
          <w:tcPr>
            <w:tcW w:w="964" w:type="pct"/>
            <w:tcBorders>
              <w:top w:val="single" w:sz="4" w:space="0" w:color="auto"/>
              <w:left w:val="single" w:sz="4" w:space="0" w:color="auto"/>
              <w:bottom w:val="single" w:sz="4" w:space="0" w:color="auto"/>
              <w:right w:val="single" w:sz="4" w:space="0" w:color="auto"/>
            </w:tcBorders>
            <w:vAlign w:val="center"/>
          </w:tcPr>
          <w:p w14:paraId="64C6B7CC" w14:textId="77777777" w:rsidR="00260726" w:rsidRDefault="00E936D8">
            <w:pPr>
              <w:widowControl/>
              <w:adjustRightInd w:val="0"/>
              <w:snapToGrid w:val="0"/>
              <w:jc w:val="left"/>
              <w:rPr>
                <w:color w:val="000000"/>
                <w:kern w:val="0"/>
                <w:sz w:val="18"/>
                <w:szCs w:val="18"/>
              </w:rPr>
            </w:pPr>
            <w:r>
              <w:rPr>
                <w:color w:val="000000"/>
                <w:kern w:val="0"/>
                <w:sz w:val="18"/>
                <w:szCs w:val="18"/>
              </w:rPr>
              <w:t>预算管理符合相关的财务管理制度规定。</w:t>
            </w:r>
          </w:p>
        </w:tc>
        <w:tc>
          <w:tcPr>
            <w:tcW w:w="239" w:type="pct"/>
            <w:tcBorders>
              <w:top w:val="single" w:sz="4" w:space="0" w:color="auto"/>
              <w:left w:val="single" w:sz="4" w:space="0" w:color="auto"/>
              <w:bottom w:val="single" w:sz="4" w:space="0" w:color="auto"/>
              <w:right w:val="single" w:sz="4" w:space="0" w:color="auto"/>
            </w:tcBorders>
            <w:noWrap/>
            <w:vAlign w:val="center"/>
          </w:tcPr>
          <w:p w14:paraId="21E7FF61"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2889FED6" w14:textId="77777777">
        <w:trPr>
          <w:trHeight w:val="634"/>
        </w:trPr>
        <w:tc>
          <w:tcPr>
            <w:tcW w:w="267" w:type="pct"/>
            <w:vMerge/>
            <w:tcBorders>
              <w:top w:val="single" w:sz="4" w:space="0" w:color="auto"/>
              <w:left w:val="single" w:sz="4" w:space="0" w:color="auto"/>
              <w:bottom w:val="single" w:sz="4" w:space="0" w:color="auto"/>
              <w:right w:val="single" w:sz="4" w:space="0" w:color="auto"/>
            </w:tcBorders>
            <w:vAlign w:val="center"/>
          </w:tcPr>
          <w:p w14:paraId="6EA2AB78"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3DC1914F" w14:textId="77777777" w:rsidR="00260726" w:rsidRDefault="00E936D8">
            <w:pPr>
              <w:widowControl/>
              <w:adjustRightInd w:val="0"/>
              <w:snapToGrid w:val="0"/>
              <w:jc w:val="center"/>
              <w:rPr>
                <w:color w:val="000000"/>
                <w:kern w:val="0"/>
                <w:sz w:val="18"/>
                <w:szCs w:val="18"/>
              </w:rPr>
            </w:pPr>
            <w:r>
              <w:rPr>
                <w:color w:val="000000"/>
                <w:kern w:val="0"/>
                <w:sz w:val="18"/>
                <w:szCs w:val="18"/>
              </w:rPr>
              <w:t>收支管理</w:t>
            </w:r>
          </w:p>
        </w:tc>
        <w:tc>
          <w:tcPr>
            <w:tcW w:w="483" w:type="pct"/>
            <w:tcBorders>
              <w:top w:val="single" w:sz="4" w:space="0" w:color="auto"/>
              <w:left w:val="single" w:sz="4" w:space="0" w:color="auto"/>
              <w:bottom w:val="single" w:sz="4" w:space="0" w:color="auto"/>
              <w:right w:val="single" w:sz="4" w:space="0" w:color="auto"/>
            </w:tcBorders>
            <w:vAlign w:val="center"/>
          </w:tcPr>
          <w:p w14:paraId="085B9576" w14:textId="77777777" w:rsidR="00260726" w:rsidRDefault="00E936D8">
            <w:pPr>
              <w:widowControl/>
              <w:adjustRightInd w:val="0"/>
              <w:snapToGrid w:val="0"/>
              <w:jc w:val="center"/>
              <w:rPr>
                <w:color w:val="000000"/>
                <w:kern w:val="0"/>
                <w:sz w:val="18"/>
                <w:szCs w:val="18"/>
              </w:rPr>
            </w:pPr>
            <w:r>
              <w:rPr>
                <w:color w:val="000000"/>
                <w:kern w:val="0"/>
                <w:sz w:val="18"/>
                <w:szCs w:val="18"/>
              </w:rPr>
              <w:t>收支管理制度健全性</w:t>
            </w:r>
          </w:p>
        </w:tc>
        <w:tc>
          <w:tcPr>
            <w:tcW w:w="288" w:type="pct"/>
            <w:tcBorders>
              <w:top w:val="single" w:sz="4" w:space="0" w:color="auto"/>
              <w:left w:val="nil"/>
              <w:bottom w:val="single" w:sz="4" w:space="0" w:color="auto"/>
              <w:right w:val="single" w:sz="4" w:space="0" w:color="auto"/>
            </w:tcBorders>
            <w:vAlign w:val="center"/>
          </w:tcPr>
          <w:p w14:paraId="075F2889" w14:textId="77777777" w:rsidR="00260726" w:rsidRDefault="00E936D8">
            <w:pPr>
              <w:widowControl/>
              <w:adjustRightInd w:val="0"/>
              <w:snapToGrid w:val="0"/>
              <w:jc w:val="center"/>
              <w:rPr>
                <w:color w:val="000000"/>
                <w:kern w:val="0"/>
                <w:sz w:val="18"/>
                <w:szCs w:val="18"/>
              </w:rPr>
            </w:pPr>
            <w:r>
              <w:rPr>
                <w:color w:val="000000"/>
                <w:kern w:val="0"/>
                <w:sz w:val="18"/>
                <w:szCs w:val="18"/>
              </w:rPr>
              <w:t>健全</w:t>
            </w:r>
          </w:p>
        </w:tc>
        <w:tc>
          <w:tcPr>
            <w:tcW w:w="192" w:type="pct"/>
            <w:tcBorders>
              <w:top w:val="single" w:sz="4" w:space="0" w:color="auto"/>
              <w:left w:val="nil"/>
              <w:bottom w:val="single" w:sz="4" w:space="0" w:color="auto"/>
              <w:right w:val="single" w:sz="4" w:space="0" w:color="auto"/>
            </w:tcBorders>
            <w:noWrap/>
            <w:vAlign w:val="center"/>
          </w:tcPr>
          <w:p w14:paraId="7A7BF627"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01D18A40" w14:textId="77777777" w:rsidR="00260726" w:rsidRDefault="00E936D8">
            <w:pPr>
              <w:adjustRightInd w:val="0"/>
              <w:snapToGrid w:val="0"/>
              <w:rPr>
                <w:color w:val="000000"/>
                <w:sz w:val="18"/>
                <w:szCs w:val="18"/>
              </w:rPr>
            </w:pPr>
            <w:r>
              <w:rPr>
                <w:color w:val="000000"/>
                <w:sz w:val="18"/>
                <w:szCs w:val="18"/>
              </w:rPr>
              <w:t>已制订收支管理办法，得</w:t>
            </w:r>
            <w:r>
              <w:rPr>
                <w:color w:val="000000"/>
                <w:sz w:val="18"/>
                <w:szCs w:val="18"/>
              </w:rPr>
              <w:t>1</w:t>
            </w:r>
            <w:r>
              <w:rPr>
                <w:color w:val="000000"/>
                <w:sz w:val="18"/>
                <w:szCs w:val="18"/>
              </w:rPr>
              <w:t>分；未制定，得</w:t>
            </w:r>
            <w:r>
              <w:rPr>
                <w:color w:val="000000"/>
                <w:sz w:val="18"/>
                <w:szCs w:val="18"/>
              </w:rPr>
              <w:t>0</w:t>
            </w:r>
            <w:r>
              <w:rPr>
                <w:color w:val="000000"/>
                <w:sz w:val="18"/>
                <w:szCs w:val="18"/>
              </w:rPr>
              <w:t>分。</w:t>
            </w:r>
          </w:p>
        </w:tc>
        <w:tc>
          <w:tcPr>
            <w:tcW w:w="964" w:type="pct"/>
            <w:tcBorders>
              <w:top w:val="single" w:sz="4" w:space="0" w:color="auto"/>
              <w:left w:val="nil"/>
              <w:bottom w:val="single" w:sz="4" w:space="0" w:color="auto"/>
              <w:right w:val="single" w:sz="4" w:space="0" w:color="auto"/>
            </w:tcBorders>
            <w:vAlign w:val="center"/>
          </w:tcPr>
          <w:p w14:paraId="2DE0B372" w14:textId="77777777" w:rsidR="00260726" w:rsidRDefault="00E936D8">
            <w:pPr>
              <w:widowControl/>
              <w:adjustRightInd w:val="0"/>
              <w:snapToGrid w:val="0"/>
              <w:jc w:val="left"/>
              <w:rPr>
                <w:color w:val="000000"/>
                <w:kern w:val="0"/>
                <w:sz w:val="18"/>
                <w:szCs w:val="18"/>
              </w:rPr>
            </w:pPr>
            <w:r>
              <w:rPr>
                <w:color w:val="000000"/>
                <w:kern w:val="0"/>
                <w:sz w:val="18"/>
                <w:szCs w:val="18"/>
              </w:rPr>
              <w:t>已制订财务管理办法，对收支管理要求明确。</w:t>
            </w:r>
          </w:p>
        </w:tc>
        <w:tc>
          <w:tcPr>
            <w:tcW w:w="239" w:type="pct"/>
            <w:tcBorders>
              <w:top w:val="single" w:sz="4" w:space="0" w:color="auto"/>
              <w:left w:val="nil"/>
              <w:bottom w:val="single" w:sz="4" w:space="0" w:color="auto"/>
              <w:right w:val="single" w:sz="4" w:space="0" w:color="auto"/>
            </w:tcBorders>
            <w:noWrap/>
            <w:vAlign w:val="center"/>
          </w:tcPr>
          <w:p w14:paraId="6A535418"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62B31A9F" w14:textId="77777777">
        <w:trPr>
          <w:trHeight w:val="1020"/>
        </w:trPr>
        <w:tc>
          <w:tcPr>
            <w:tcW w:w="267" w:type="pct"/>
            <w:vMerge/>
            <w:tcBorders>
              <w:top w:val="single" w:sz="4" w:space="0" w:color="auto"/>
              <w:left w:val="single" w:sz="4" w:space="0" w:color="auto"/>
              <w:bottom w:val="single" w:sz="4" w:space="0" w:color="auto"/>
              <w:right w:val="single" w:sz="4" w:space="0" w:color="auto"/>
            </w:tcBorders>
            <w:vAlign w:val="center"/>
          </w:tcPr>
          <w:p w14:paraId="76E4C8E4"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4619456F"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3040234A" w14:textId="77777777" w:rsidR="00260726" w:rsidRDefault="00E936D8">
            <w:pPr>
              <w:widowControl/>
              <w:adjustRightInd w:val="0"/>
              <w:snapToGrid w:val="0"/>
              <w:jc w:val="center"/>
              <w:rPr>
                <w:color w:val="000000"/>
                <w:kern w:val="0"/>
                <w:sz w:val="18"/>
                <w:szCs w:val="18"/>
              </w:rPr>
            </w:pPr>
            <w:r>
              <w:rPr>
                <w:color w:val="000000"/>
                <w:kern w:val="0"/>
                <w:sz w:val="18"/>
                <w:szCs w:val="18"/>
              </w:rPr>
              <w:t>收支管理执行有效性</w:t>
            </w:r>
          </w:p>
        </w:tc>
        <w:tc>
          <w:tcPr>
            <w:tcW w:w="288" w:type="pct"/>
            <w:tcBorders>
              <w:top w:val="nil"/>
              <w:left w:val="nil"/>
              <w:bottom w:val="single" w:sz="4" w:space="0" w:color="auto"/>
              <w:right w:val="single" w:sz="4" w:space="0" w:color="auto"/>
            </w:tcBorders>
            <w:vAlign w:val="center"/>
          </w:tcPr>
          <w:p w14:paraId="673FE5DF" w14:textId="77777777" w:rsidR="00260726" w:rsidRDefault="00E936D8">
            <w:pPr>
              <w:widowControl/>
              <w:adjustRightInd w:val="0"/>
              <w:snapToGrid w:val="0"/>
              <w:jc w:val="center"/>
              <w:rPr>
                <w:color w:val="000000"/>
                <w:kern w:val="0"/>
                <w:sz w:val="18"/>
                <w:szCs w:val="18"/>
              </w:rPr>
            </w:pPr>
            <w:r>
              <w:rPr>
                <w:color w:val="000000"/>
                <w:kern w:val="0"/>
                <w:sz w:val="18"/>
                <w:szCs w:val="18"/>
              </w:rPr>
              <w:t>有效</w:t>
            </w:r>
          </w:p>
        </w:tc>
        <w:tc>
          <w:tcPr>
            <w:tcW w:w="192" w:type="pct"/>
            <w:tcBorders>
              <w:top w:val="nil"/>
              <w:left w:val="nil"/>
              <w:bottom w:val="single" w:sz="4" w:space="0" w:color="auto"/>
              <w:right w:val="single" w:sz="4" w:space="0" w:color="auto"/>
            </w:tcBorders>
            <w:noWrap/>
            <w:vAlign w:val="center"/>
          </w:tcPr>
          <w:p w14:paraId="29482E3C"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nil"/>
              <w:left w:val="nil"/>
              <w:bottom w:val="single" w:sz="4" w:space="0" w:color="auto"/>
              <w:right w:val="single" w:sz="4" w:space="0" w:color="auto"/>
            </w:tcBorders>
            <w:vAlign w:val="center"/>
          </w:tcPr>
          <w:p w14:paraId="215F2E56"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2</w:t>
            </w:r>
            <w:r>
              <w:rPr>
                <w:color w:val="000000"/>
                <w:sz w:val="18"/>
                <w:szCs w:val="18"/>
              </w:rPr>
              <w:t>项：</w:t>
            </w:r>
            <w:r>
              <w:rPr>
                <w:color w:val="000000"/>
                <w:sz w:val="18"/>
                <w:szCs w:val="18"/>
              </w:rPr>
              <w:t>1.</w:t>
            </w:r>
            <w:r>
              <w:rPr>
                <w:color w:val="000000"/>
                <w:sz w:val="18"/>
                <w:szCs w:val="18"/>
              </w:rPr>
              <w:t>严格按照部门收入管理办法与流程执行，所有收入</w:t>
            </w:r>
            <w:r>
              <w:rPr>
                <w:color w:val="000000"/>
                <w:sz w:val="18"/>
                <w:szCs w:val="18"/>
              </w:rPr>
              <w:t>“</w:t>
            </w:r>
            <w:r>
              <w:rPr>
                <w:color w:val="000000"/>
                <w:sz w:val="18"/>
                <w:szCs w:val="18"/>
              </w:rPr>
              <w:t>应收尽收</w:t>
            </w:r>
            <w:r>
              <w:rPr>
                <w:color w:val="000000"/>
                <w:sz w:val="18"/>
                <w:szCs w:val="18"/>
              </w:rPr>
              <w:t>”“</w:t>
            </w:r>
            <w:r>
              <w:rPr>
                <w:color w:val="000000"/>
                <w:sz w:val="18"/>
                <w:szCs w:val="18"/>
              </w:rPr>
              <w:t>应缴尽缴</w:t>
            </w:r>
            <w:r>
              <w:rPr>
                <w:color w:val="000000"/>
                <w:sz w:val="18"/>
                <w:szCs w:val="18"/>
              </w:rPr>
              <w:t>”</w:t>
            </w:r>
            <w:r>
              <w:rPr>
                <w:color w:val="000000"/>
                <w:sz w:val="18"/>
                <w:szCs w:val="18"/>
              </w:rPr>
              <w:t>，得</w:t>
            </w:r>
            <w:r>
              <w:rPr>
                <w:color w:val="000000"/>
                <w:sz w:val="18"/>
                <w:szCs w:val="18"/>
              </w:rPr>
              <w:t>0.5</w:t>
            </w:r>
            <w:r>
              <w:rPr>
                <w:color w:val="000000"/>
                <w:sz w:val="18"/>
                <w:szCs w:val="18"/>
              </w:rPr>
              <w:t>分；未严格执行，得</w:t>
            </w:r>
            <w:r>
              <w:rPr>
                <w:color w:val="000000"/>
                <w:sz w:val="18"/>
                <w:szCs w:val="18"/>
              </w:rPr>
              <w:t>0</w:t>
            </w:r>
            <w:r>
              <w:rPr>
                <w:color w:val="000000"/>
                <w:sz w:val="18"/>
                <w:szCs w:val="18"/>
              </w:rPr>
              <w:t>分；</w:t>
            </w:r>
            <w:r>
              <w:rPr>
                <w:color w:val="000000"/>
                <w:sz w:val="18"/>
                <w:szCs w:val="18"/>
              </w:rPr>
              <w:t>2.</w:t>
            </w:r>
            <w:r>
              <w:rPr>
                <w:color w:val="000000"/>
                <w:sz w:val="18"/>
                <w:szCs w:val="18"/>
              </w:rPr>
              <w:t>部门支出符合部门管理、财务管理等制度，得</w:t>
            </w:r>
            <w:r>
              <w:rPr>
                <w:color w:val="000000"/>
                <w:sz w:val="18"/>
                <w:szCs w:val="18"/>
              </w:rPr>
              <w:t>0.5</w:t>
            </w:r>
            <w:r>
              <w:rPr>
                <w:color w:val="000000"/>
                <w:sz w:val="18"/>
                <w:szCs w:val="18"/>
              </w:rPr>
              <w:t>分；不符合，每发现一例扣除</w:t>
            </w:r>
            <w:r>
              <w:rPr>
                <w:color w:val="000000"/>
                <w:sz w:val="18"/>
                <w:szCs w:val="18"/>
              </w:rPr>
              <w:t>0.2</w:t>
            </w:r>
            <w:r>
              <w:rPr>
                <w:color w:val="000000"/>
                <w:sz w:val="18"/>
                <w:szCs w:val="18"/>
              </w:rPr>
              <w:t>分，扣完为止；如存在截留、挤占、挪用、虚列支出等情况，得</w:t>
            </w:r>
            <w:r>
              <w:rPr>
                <w:color w:val="000000"/>
                <w:sz w:val="18"/>
                <w:szCs w:val="18"/>
              </w:rPr>
              <w:t>0</w:t>
            </w:r>
            <w:r>
              <w:rPr>
                <w:color w:val="000000"/>
                <w:sz w:val="18"/>
                <w:szCs w:val="18"/>
              </w:rPr>
              <w:t>分。</w:t>
            </w:r>
          </w:p>
        </w:tc>
        <w:tc>
          <w:tcPr>
            <w:tcW w:w="964" w:type="pct"/>
            <w:tcBorders>
              <w:top w:val="nil"/>
              <w:left w:val="nil"/>
              <w:bottom w:val="single" w:sz="4" w:space="0" w:color="auto"/>
              <w:right w:val="single" w:sz="4" w:space="0" w:color="auto"/>
            </w:tcBorders>
            <w:vAlign w:val="center"/>
          </w:tcPr>
          <w:p w14:paraId="04B95AAD" w14:textId="77777777" w:rsidR="00260726" w:rsidRDefault="00E936D8">
            <w:pPr>
              <w:widowControl/>
              <w:adjustRightInd w:val="0"/>
              <w:snapToGrid w:val="0"/>
              <w:jc w:val="left"/>
              <w:rPr>
                <w:color w:val="000000"/>
                <w:kern w:val="0"/>
                <w:sz w:val="18"/>
                <w:szCs w:val="18"/>
              </w:rPr>
            </w:pPr>
            <w:r>
              <w:rPr>
                <w:color w:val="000000"/>
                <w:kern w:val="0"/>
                <w:sz w:val="18"/>
                <w:szCs w:val="18"/>
              </w:rPr>
              <w:t>所有收入</w:t>
            </w:r>
            <w:r>
              <w:rPr>
                <w:color w:val="000000"/>
                <w:kern w:val="0"/>
                <w:sz w:val="18"/>
                <w:szCs w:val="18"/>
              </w:rPr>
              <w:t>“</w:t>
            </w:r>
            <w:r>
              <w:rPr>
                <w:color w:val="000000"/>
                <w:kern w:val="0"/>
                <w:sz w:val="18"/>
                <w:szCs w:val="18"/>
              </w:rPr>
              <w:t>应收尽收</w:t>
            </w:r>
            <w:r>
              <w:rPr>
                <w:color w:val="000000"/>
                <w:kern w:val="0"/>
                <w:sz w:val="18"/>
                <w:szCs w:val="18"/>
              </w:rPr>
              <w:t>”“</w:t>
            </w:r>
            <w:r>
              <w:rPr>
                <w:color w:val="000000"/>
                <w:kern w:val="0"/>
                <w:sz w:val="18"/>
                <w:szCs w:val="18"/>
              </w:rPr>
              <w:t>应缴尽缴</w:t>
            </w:r>
            <w:r>
              <w:rPr>
                <w:color w:val="000000"/>
                <w:kern w:val="0"/>
                <w:sz w:val="18"/>
                <w:szCs w:val="18"/>
              </w:rPr>
              <w:t>”</w:t>
            </w:r>
            <w:r>
              <w:rPr>
                <w:rFonts w:hint="eastAsia"/>
                <w:color w:val="000000"/>
                <w:kern w:val="0"/>
                <w:sz w:val="18"/>
                <w:szCs w:val="18"/>
              </w:rPr>
              <w:t>，部</w:t>
            </w:r>
            <w:r>
              <w:rPr>
                <w:color w:val="000000"/>
                <w:kern w:val="0"/>
                <w:sz w:val="18"/>
                <w:szCs w:val="18"/>
              </w:rPr>
              <w:t>门支出符合部门管理、财务管理等制度。</w:t>
            </w:r>
          </w:p>
        </w:tc>
        <w:tc>
          <w:tcPr>
            <w:tcW w:w="239" w:type="pct"/>
            <w:tcBorders>
              <w:top w:val="nil"/>
              <w:left w:val="nil"/>
              <w:bottom w:val="single" w:sz="4" w:space="0" w:color="auto"/>
              <w:right w:val="single" w:sz="4" w:space="0" w:color="auto"/>
            </w:tcBorders>
            <w:noWrap/>
            <w:vAlign w:val="center"/>
          </w:tcPr>
          <w:p w14:paraId="60C7BA2A"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4D671EE8" w14:textId="77777777">
        <w:trPr>
          <w:trHeight w:val="798"/>
        </w:trPr>
        <w:tc>
          <w:tcPr>
            <w:tcW w:w="267" w:type="pct"/>
            <w:vMerge/>
            <w:tcBorders>
              <w:top w:val="single" w:sz="4" w:space="0" w:color="auto"/>
              <w:left w:val="single" w:sz="4" w:space="0" w:color="auto"/>
              <w:bottom w:val="single" w:sz="4" w:space="0" w:color="auto"/>
              <w:right w:val="single" w:sz="4" w:space="0" w:color="auto"/>
            </w:tcBorders>
            <w:vAlign w:val="center"/>
          </w:tcPr>
          <w:p w14:paraId="604CCD72"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4572D062" w14:textId="77777777" w:rsidR="00260726" w:rsidRDefault="00E936D8">
            <w:pPr>
              <w:widowControl/>
              <w:adjustRightInd w:val="0"/>
              <w:snapToGrid w:val="0"/>
              <w:jc w:val="center"/>
              <w:rPr>
                <w:color w:val="000000"/>
                <w:kern w:val="0"/>
                <w:sz w:val="18"/>
                <w:szCs w:val="18"/>
              </w:rPr>
            </w:pPr>
            <w:r>
              <w:rPr>
                <w:color w:val="000000"/>
                <w:kern w:val="0"/>
                <w:sz w:val="18"/>
                <w:szCs w:val="18"/>
              </w:rPr>
              <w:t>资产管理</w:t>
            </w:r>
          </w:p>
        </w:tc>
        <w:tc>
          <w:tcPr>
            <w:tcW w:w="483" w:type="pct"/>
            <w:tcBorders>
              <w:top w:val="single" w:sz="4" w:space="0" w:color="auto"/>
              <w:left w:val="single" w:sz="4" w:space="0" w:color="auto"/>
              <w:bottom w:val="single" w:sz="4" w:space="0" w:color="auto"/>
              <w:right w:val="single" w:sz="4" w:space="0" w:color="auto"/>
            </w:tcBorders>
            <w:vAlign w:val="center"/>
          </w:tcPr>
          <w:p w14:paraId="27C18786" w14:textId="77777777" w:rsidR="00260726" w:rsidRDefault="00E936D8">
            <w:pPr>
              <w:widowControl/>
              <w:adjustRightInd w:val="0"/>
              <w:snapToGrid w:val="0"/>
              <w:jc w:val="center"/>
              <w:rPr>
                <w:color w:val="000000"/>
                <w:kern w:val="0"/>
                <w:sz w:val="18"/>
                <w:szCs w:val="18"/>
              </w:rPr>
            </w:pPr>
            <w:r>
              <w:rPr>
                <w:color w:val="000000"/>
                <w:kern w:val="0"/>
                <w:sz w:val="18"/>
                <w:szCs w:val="18"/>
              </w:rPr>
              <w:t>资产管理制度健全性</w:t>
            </w:r>
          </w:p>
        </w:tc>
        <w:tc>
          <w:tcPr>
            <w:tcW w:w="288" w:type="pct"/>
            <w:tcBorders>
              <w:top w:val="single" w:sz="4" w:space="0" w:color="auto"/>
              <w:left w:val="single" w:sz="4" w:space="0" w:color="auto"/>
              <w:bottom w:val="single" w:sz="4" w:space="0" w:color="auto"/>
              <w:right w:val="single" w:sz="4" w:space="0" w:color="auto"/>
            </w:tcBorders>
            <w:vAlign w:val="center"/>
          </w:tcPr>
          <w:p w14:paraId="524E7B8E" w14:textId="77777777" w:rsidR="00260726" w:rsidRDefault="00E936D8">
            <w:pPr>
              <w:widowControl/>
              <w:adjustRightInd w:val="0"/>
              <w:snapToGrid w:val="0"/>
              <w:jc w:val="center"/>
              <w:rPr>
                <w:color w:val="000000"/>
                <w:kern w:val="0"/>
                <w:sz w:val="18"/>
                <w:szCs w:val="18"/>
              </w:rPr>
            </w:pPr>
            <w:r>
              <w:rPr>
                <w:color w:val="000000"/>
                <w:kern w:val="0"/>
                <w:sz w:val="18"/>
                <w:szCs w:val="18"/>
              </w:rPr>
              <w:t>健全</w:t>
            </w:r>
          </w:p>
        </w:tc>
        <w:tc>
          <w:tcPr>
            <w:tcW w:w="192" w:type="pct"/>
            <w:tcBorders>
              <w:top w:val="single" w:sz="4" w:space="0" w:color="auto"/>
              <w:left w:val="single" w:sz="4" w:space="0" w:color="auto"/>
              <w:bottom w:val="single" w:sz="4" w:space="0" w:color="auto"/>
              <w:right w:val="single" w:sz="4" w:space="0" w:color="auto"/>
            </w:tcBorders>
            <w:noWrap/>
            <w:vAlign w:val="center"/>
          </w:tcPr>
          <w:p w14:paraId="42A4E817"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76667920" w14:textId="77777777" w:rsidR="00260726" w:rsidRDefault="00E936D8">
            <w:pPr>
              <w:adjustRightInd w:val="0"/>
              <w:snapToGrid w:val="0"/>
              <w:rPr>
                <w:color w:val="000000"/>
                <w:sz w:val="18"/>
                <w:szCs w:val="18"/>
              </w:rPr>
            </w:pPr>
            <w:r>
              <w:rPr>
                <w:color w:val="000000"/>
                <w:sz w:val="18"/>
                <w:szCs w:val="18"/>
              </w:rPr>
              <w:t>已制订健全的资产配置、使用、处置制度，得</w:t>
            </w:r>
            <w:r>
              <w:rPr>
                <w:color w:val="000000"/>
                <w:sz w:val="18"/>
                <w:szCs w:val="18"/>
              </w:rPr>
              <w:t>1</w:t>
            </w:r>
            <w:r>
              <w:rPr>
                <w:color w:val="000000"/>
                <w:sz w:val="18"/>
                <w:szCs w:val="18"/>
              </w:rPr>
              <w:t>分；未制订不得分。</w:t>
            </w:r>
          </w:p>
        </w:tc>
        <w:tc>
          <w:tcPr>
            <w:tcW w:w="964" w:type="pct"/>
            <w:tcBorders>
              <w:top w:val="single" w:sz="4" w:space="0" w:color="auto"/>
              <w:left w:val="single" w:sz="4" w:space="0" w:color="auto"/>
              <w:bottom w:val="single" w:sz="4" w:space="0" w:color="auto"/>
              <w:right w:val="single" w:sz="4" w:space="0" w:color="auto"/>
            </w:tcBorders>
            <w:vAlign w:val="center"/>
          </w:tcPr>
          <w:p w14:paraId="3B3DA3E0" w14:textId="77777777" w:rsidR="00260726" w:rsidRDefault="00E936D8">
            <w:pPr>
              <w:widowControl/>
              <w:adjustRightInd w:val="0"/>
              <w:snapToGrid w:val="0"/>
              <w:jc w:val="left"/>
              <w:rPr>
                <w:color w:val="000000"/>
                <w:kern w:val="0"/>
                <w:sz w:val="18"/>
                <w:szCs w:val="18"/>
              </w:rPr>
            </w:pPr>
            <w:r>
              <w:rPr>
                <w:color w:val="000000"/>
                <w:kern w:val="0"/>
                <w:sz w:val="18"/>
                <w:szCs w:val="18"/>
              </w:rPr>
              <w:t>已制订健全的资产配置、使用、处置制度。</w:t>
            </w:r>
          </w:p>
        </w:tc>
        <w:tc>
          <w:tcPr>
            <w:tcW w:w="239" w:type="pct"/>
            <w:tcBorders>
              <w:top w:val="single" w:sz="4" w:space="0" w:color="auto"/>
              <w:left w:val="single" w:sz="4" w:space="0" w:color="auto"/>
              <w:bottom w:val="single" w:sz="4" w:space="0" w:color="auto"/>
              <w:right w:val="single" w:sz="4" w:space="0" w:color="auto"/>
            </w:tcBorders>
            <w:noWrap/>
            <w:vAlign w:val="center"/>
          </w:tcPr>
          <w:p w14:paraId="2F07E1C9"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619C5408" w14:textId="77777777">
        <w:trPr>
          <w:trHeight w:val="668"/>
        </w:trPr>
        <w:tc>
          <w:tcPr>
            <w:tcW w:w="267" w:type="pct"/>
            <w:vMerge/>
            <w:tcBorders>
              <w:top w:val="single" w:sz="4" w:space="0" w:color="auto"/>
              <w:left w:val="single" w:sz="4" w:space="0" w:color="auto"/>
              <w:bottom w:val="single" w:sz="4" w:space="0" w:color="auto"/>
              <w:right w:val="single" w:sz="4" w:space="0" w:color="auto"/>
            </w:tcBorders>
            <w:vAlign w:val="center"/>
          </w:tcPr>
          <w:p w14:paraId="17218ED0"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7DBF4F34"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3403AD5A" w14:textId="77777777" w:rsidR="00260726" w:rsidRDefault="00E936D8">
            <w:pPr>
              <w:widowControl/>
              <w:adjustRightInd w:val="0"/>
              <w:snapToGrid w:val="0"/>
              <w:jc w:val="center"/>
              <w:rPr>
                <w:color w:val="000000"/>
                <w:kern w:val="0"/>
                <w:sz w:val="18"/>
                <w:szCs w:val="18"/>
              </w:rPr>
            </w:pPr>
            <w:r>
              <w:rPr>
                <w:color w:val="000000"/>
                <w:kern w:val="0"/>
                <w:sz w:val="18"/>
                <w:szCs w:val="18"/>
              </w:rPr>
              <w:t>资产管理执行有效性</w:t>
            </w:r>
          </w:p>
        </w:tc>
        <w:tc>
          <w:tcPr>
            <w:tcW w:w="288" w:type="pct"/>
            <w:tcBorders>
              <w:top w:val="single" w:sz="4" w:space="0" w:color="auto"/>
              <w:left w:val="single" w:sz="4" w:space="0" w:color="auto"/>
              <w:bottom w:val="single" w:sz="4" w:space="0" w:color="auto"/>
              <w:right w:val="single" w:sz="4" w:space="0" w:color="auto"/>
            </w:tcBorders>
            <w:vAlign w:val="center"/>
          </w:tcPr>
          <w:p w14:paraId="4A2A7DF2" w14:textId="77777777" w:rsidR="00260726" w:rsidRDefault="00E936D8">
            <w:pPr>
              <w:widowControl/>
              <w:adjustRightInd w:val="0"/>
              <w:snapToGrid w:val="0"/>
              <w:jc w:val="center"/>
              <w:rPr>
                <w:color w:val="000000"/>
                <w:kern w:val="0"/>
                <w:sz w:val="18"/>
                <w:szCs w:val="18"/>
              </w:rPr>
            </w:pPr>
            <w:r>
              <w:rPr>
                <w:color w:val="000000"/>
                <w:kern w:val="0"/>
                <w:sz w:val="18"/>
                <w:szCs w:val="18"/>
              </w:rPr>
              <w:t>有效</w:t>
            </w:r>
          </w:p>
        </w:tc>
        <w:tc>
          <w:tcPr>
            <w:tcW w:w="192" w:type="pct"/>
            <w:tcBorders>
              <w:top w:val="single" w:sz="4" w:space="0" w:color="auto"/>
              <w:left w:val="single" w:sz="4" w:space="0" w:color="auto"/>
              <w:bottom w:val="single" w:sz="4" w:space="0" w:color="auto"/>
              <w:right w:val="single" w:sz="4" w:space="0" w:color="auto"/>
            </w:tcBorders>
            <w:noWrap/>
            <w:vAlign w:val="center"/>
          </w:tcPr>
          <w:p w14:paraId="04C48913"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5F629682" w14:textId="77777777" w:rsidR="00260726" w:rsidRDefault="00E936D8">
            <w:pPr>
              <w:adjustRightInd w:val="0"/>
              <w:snapToGrid w:val="0"/>
              <w:rPr>
                <w:color w:val="000000"/>
                <w:sz w:val="18"/>
                <w:szCs w:val="18"/>
              </w:rPr>
            </w:pPr>
            <w:r>
              <w:rPr>
                <w:color w:val="000000"/>
                <w:sz w:val="18"/>
                <w:szCs w:val="18"/>
              </w:rPr>
              <w:t>严格遵守流程对资产进行配置、使用、处置，得</w:t>
            </w:r>
            <w:r>
              <w:rPr>
                <w:color w:val="000000"/>
                <w:sz w:val="18"/>
                <w:szCs w:val="18"/>
              </w:rPr>
              <w:t>1</w:t>
            </w:r>
            <w:r>
              <w:rPr>
                <w:color w:val="000000"/>
                <w:sz w:val="18"/>
                <w:szCs w:val="18"/>
              </w:rPr>
              <w:t>分；未有效遵守规定，每发现一例扣除</w:t>
            </w:r>
            <w:r>
              <w:rPr>
                <w:color w:val="000000"/>
                <w:sz w:val="18"/>
                <w:szCs w:val="18"/>
              </w:rPr>
              <w:t>0.2</w:t>
            </w:r>
            <w:r>
              <w:rPr>
                <w:color w:val="000000"/>
                <w:sz w:val="18"/>
                <w:szCs w:val="18"/>
              </w:rPr>
              <w:t>分，扣完为止。</w:t>
            </w:r>
          </w:p>
        </w:tc>
        <w:tc>
          <w:tcPr>
            <w:tcW w:w="964" w:type="pct"/>
            <w:tcBorders>
              <w:top w:val="single" w:sz="4" w:space="0" w:color="auto"/>
              <w:left w:val="single" w:sz="4" w:space="0" w:color="auto"/>
              <w:bottom w:val="single" w:sz="4" w:space="0" w:color="auto"/>
              <w:right w:val="single" w:sz="4" w:space="0" w:color="auto"/>
            </w:tcBorders>
            <w:vAlign w:val="center"/>
          </w:tcPr>
          <w:p w14:paraId="3489B17A" w14:textId="77777777" w:rsidR="00260726" w:rsidRDefault="00E936D8">
            <w:pPr>
              <w:widowControl/>
              <w:adjustRightInd w:val="0"/>
              <w:snapToGrid w:val="0"/>
              <w:jc w:val="left"/>
              <w:rPr>
                <w:color w:val="000000"/>
                <w:kern w:val="0"/>
                <w:sz w:val="18"/>
                <w:szCs w:val="18"/>
              </w:rPr>
            </w:pPr>
            <w:r>
              <w:rPr>
                <w:color w:val="000000"/>
                <w:kern w:val="0"/>
                <w:sz w:val="18"/>
                <w:szCs w:val="18"/>
              </w:rPr>
              <w:t>严格遵守流程对资产进行配置、使用、处置。</w:t>
            </w:r>
          </w:p>
        </w:tc>
        <w:tc>
          <w:tcPr>
            <w:tcW w:w="239" w:type="pct"/>
            <w:tcBorders>
              <w:top w:val="single" w:sz="4" w:space="0" w:color="auto"/>
              <w:left w:val="single" w:sz="4" w:space="0" w:color="auto"/>
              <w:bottom w:val="single" w:sz="4" w:space="0" w:color="auto"/>
              <w:right w:val="single" w:sz="4" w:space="0" w:color="auto"/>
            </w:tcBorders>
            <w:noWrap/>
            <w:vAlign w:val="center"/>
          </w:tcPr>
          <w:p w14:paraId="2AA4C1CC"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0FF913B2"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4851AC48"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27510EDE" w14:textId="77777777" w:rsidR="00260726" w:rsidRDefault="00E936D8">
            <w:pPr>
              <w:widowControl/>
              <w:adjustRightInd w:val="0"/>
              <w:snapToGrid w:val="0"/>
              <w:jc w:val="center"/>
              <w:rPr>
                <w:color w:val="000000"/>
                <w:kern w:val="0"/>
                <w:sz w:val="18"/>
                <w:szCs w:val="18"/>
              </w:rPr>
            </w:pPr>
            <w:r>
              <w:rPr>
                <w:color w:val="000000"/>
                <w:kern w:val="0"/>
                <w:sz w:val="18"/>
                <w:szCs w:val="18"/>
              </w:rPr>
              <w:t>政府采购管理</w:t>
            </w:r>
          </w:p>
        </w:tc>
        <w:tc>
          <w:tcPr>
            <w:tcW w:w="483" w:type="pct"/>
            <w:tcBorders>
              <w:top w:val="single" w:sz="4" w:space="0" w:color="auto"/>
              <w:left w:val="nil"/>
              <w:bottom w:val="single" w:sz="4" w:space="0" w:color="auto"/>
              <w:right w:val="single" w:sz="4" w:space="0" w:color="auto"/>
            </w:tcBorders>
            <w:vAlign w:val="center"/>
          </w:tcPr>
          <w:p w14:paraId="1CB388E3" w14:textId="77777777" w:rsidR="00260726" w:rsidRDefault="00E936D8">
            <w:pPr>
              <w:widowControl/>
              <w:adjustRightInd w:val="0"/>
              <w:snapToGrid w:val="0"/>
              <w:jc w:val="center"/>
              <w:rPr>
                <w:color w:val="000000"/>
                <w:kern w:val="0"/>
                <w:sz w:val="18"/>
                <w:szCs w:val="18"/>
              </w:rPr>
            </w:pPr>
            <w:r>
              <w:rPr>
                <w:color w:val="000000"/>
                <w:kern w:val="0"/>
                <w:sz w:val="18"/>
                <w:szCs w:val="18"/>
              </w:rPr>
              <w:t>政府采购管理制度健全性</w:t>
            </w:r>
          </w:p>
        </w:tc>
        <w:tc>
          <w:tcPr>
            <w:tcW w:w="288" w:type="pct"/>
            <w:tcBorders>
              <w:top w:val="single" w:sz="4" w:space="0" w:color="auto"/>
              <w:left w:val="nil"/>
              <w:bottom w:val="single" w:sz="4" w:space="0" w:color="auto"/>
              <w:right w:val="single" w:sz="4" w:space="0" w:color="auto"/>
            </w:tcBorders>
            <w:vAlign w:val="center"/>
          </w:tcPr>
          <w:p w14:paraId="1176DC42" w14:textId="77777777" w:rsidR="00260726" w:rsidRDefault="00E936D8">
            <w:pPr>
              <w:widowControl/>
              <w:adjustRightInd w:val="0"/>
              <w:snapToGrid w:val="0"/>
              <w:jc w:val="center"/>
              <w:rPr>
                <w:color w:val="000000"/>
                <w:kern w:val="0"/>
                <w:sz w:val="18"/>
                <w:szCs w:val="18"/>
              </w:rPr>
            </w:pPr>
            <w:r>
              <w:rPr>
                <w:color w:val="000000"/>
                <w:kern w:val="0"/>
                <w:sz w:val="18"/>
                <w:szCs w:val="18"/>
              </w:rPr>
              <w:t>健全</w:t>
            </w:r>
          </w:p>
        </w:tc>
        <w:tc>
          <w:tcPr>
            <w:tcW w:w="192" w:type="pct"/>
            <w:tcBorders>
              <w:top w:val="single" w:sz="4" w:space="0" w:color="auto"/>
              <w:left w:val="nil"/>
              <w:bottom w:val="single" w:sz="4" w:space="0" w:color="auto"/>
              <w:right w:val="single" w:sz="4" w:space="0" w:color="auto"/>
            </w:tcBorders>
            <w:noWrap/>
            <w:vAlign w:val="center"/>
          </w:tcPr>
          <w:p w14:paraId="41F60772"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2177B77A" w14:textId="77777777" w:rsidR="00260726" w:rsidRDefault="00E936D8">
            <w:pPr>
              <w:adjustRightInd w:val="0"/>
              <w:snapToGrid w:val="0"/>
              <w:rPr>
                <w:color w:val="000000"/>
                <w:sz w:val="18"/>
                <w:szCs w:val="18"/>
              </w:rPr>
            </w:pPr>
            <w:r>
              <w:rPr>
                <w:color w:val="000000"/>
                <w:sz w:val="18"/>
                <w:szCs w:val="18"/>
              </w:rPr>
              <w:t>已制订采购管理制度，得</w:t>
            </w:r>
            <w:r>
              <w:rPr>
                <w:color w:val="000000"/>
                <w:sz w:val="18"/>
                <w:szCs w:val="18"/>
              </w:rPr>
              <w:t>1</w:t>
            </w:r>
            <w:r>
              <w:rPr>
                <w:color w:val="000000"/>
                <w:sz w:val="18"/>
                <w:szCs w:val="18"/>
              </w:rPr>
              <w:t>分；未制订制度的不得分。</w:t>
            </w:r>
          </w:p>
        </w:tc>
        <w:tc>
          <w:tcPr>
            <w:tcW w:w="964" w:type="pct"/>
            <w:tcBorders>
              <w:top w:val="single" w:sz="4" w:space="0" w:color="auto"/>
              <w:left w:val="nil"/>
              <w:bottom w:val="single" w:sz="4" w:space="0" w:color="auto"/>
              <w:right w:val="single" w:sz="4" w:space="0" w:color="auto"/>
            </w:tcBorders>
            <w:vAlign w:val="center"/>
          </w:tcPr>
          <w:p w14:paraId="785FD35A" w14:textId="77777777" w:rsidR="00260726" w:rsidRDefault="00E936D8">
            <w:pPr>
              <w:widowControl/>
              <w:adjustRightInd w:val="0"/>
              <w:snapToGrid w:val="0"/>
              <w:jc w:val="left"/>
              <w:rPr>
                <w:color w:val="000000"/>
                <w:kern w:val="0"/>
                <w:sz w:val="18"/>
                <w:szCs w:val="18"/>
              </w:rPr>
            </w:pPr>
            <w:r>
              <w:rPr>
                <w:color w:val="000000"/>
                <w:kern w:val="0"/>
                <w:sz w:val="18"/>
                <w:szCs w:val="18"/>
              </w:rPr>
              <w:t>已制订采购管理办法。</w:t>
            </w:r>
          </w:p>
        </w:tc>
        <w:tc>
          <w:tcPr>
            <w:tcW w:w="239" w:type="pct"/>
            <w:tcBorders>
              <w:top w:val="single" w:sz="4" w:space="0" w:color="auto"/>
              <w:left w:val="nil"/>
              <w:bottom w:val="single" w:sz="4" w:space="0" w:color="auto"/>
              <w:right w:val="single" w:sz="4" w:space="0" w:color="auto"/>
            </w:tcBorders>
            <w:noWrap/>
            <w:vAlign w:val="center"/>
          </w:tcPr>
          <w:p w14:paraId="148A584D"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49AE6517"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204C8B4A"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5EB6BFE8"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4EEECF0E" w14:textId="77777777" w:rsidR="00260726" w:rsidRDefault="00E936D8">
            <w:pPr>
              <w:widowControl/>
              <w:adjustRightInd w:val="0"/>
              <w:snapToGrid w:val="0"/>
              <w:jc w:val="center"/>
              <w:rPr>
                <w:color w:val="000000"/>
                <w:kern w:val="0"/>
                <w:sz w:val="18"/>
                <w:szCs w:val="18"/>
              </w:rPr>
            </w:pPr>
            <w:r>
              <w:rPr>
                <w:color w:val="000000"/>
                <w:kern w:val="0"/>
                <w:sz w:val="18"/>
                <w:szCs w:val="18"/>
              </w:rPr>
              <w:t>政府采购管理制度执行有效性</w:t>
            </w:r>
          </w:p>
        </w:tc>
        <w:tc>
          <w:tcPr>
            <w:tcW w:w="288" w:type="pct"/>
            <w:tcBorders>
              <w:top w:val="nil"/>
              <w:left w:val="nil"/>
              <w:bottom w:val="single" w:sz="4" w:space="0" w:color="auto"/>
              <w:right w:val="single" w:sz="4" w:space="0" w:color="auto"/>
            </w:tcBorders>
            <w:vAlign w:val="center"/>
          </w:tcPr>
          <w:p w14:paraId="052EFD74" w14:textId="77777777" w:rsidR="00260726" w:rsidRDefault="00E936D8">
            <w:pPr>
              <w:widowControl/>
              <w:adjustRightInd w:val="0"/>
              <w:snapToGrid w:val="0"/>
              <w:jc w:val="center"/>
              <w:rPr>
                <w:color w:val="000000"/>
                <w:kern w:val="0"/>
                <w:sz w:val="18"/>
                <w:szCs w:val="18"/>
              </w:rPr>
            </w:pPr>
            <w:r>
              <w:rPr>
                <w:color w:val="000000"/>
                <w:kern w:val="0"/>
                <w:sz w:val="18"/>
                <w:szCs w:val="18"/>
              </w:rPr>
              <w:t>有效</w:t>
            </w:r>
          </w:p>
        </w:tc>
        <w:tc>
          <w:tcPr>
            <w:tcW w:w="192" w:type="pct"/>
            <w:tcBorders>
              <w:top w:val="nil"/>
              <w:left w:val="nil"/>
              <w:bottom w:val="single" w:sz="4" w:space="0" w:color="auto"/>
              <w:right w:val="single" w:sz="4" w:space="0" w:color="auto"/>
            </w:tcBorders>
            <w:noWrap/>
            <w:vAlign w:val="center"/>
          </w:tcPr>
          <w:p w14:paraId="27975F15"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nil"/>
              <w:left w:val="nil"/>
              <w:bottom w:val="single" w:sz="4" w:space="0" w:color="auto"/>
              <w:right w:val="single" w:sz="4" w:space="0" w:color="auto"/>
            </w:tcBorders>
            <w:vAlign w:val="center"/>
          </w:tcPr>
          <w:p w14:paraId="3D7F1BD1" w14:textId="77777777" w:rsidR="00260726" w:rsidRDefault="00E936D8">
            <w:pPr>
              <w:adjustRightInd w:val="0"/>
              <w:snapToGrid w:val="0"/>
              <w:rPr>
                <w:color w:val="000000"/>
                <w:sz w:val="18"/>
                <w:szCs w:val="18"/>
              </w:rPr>
            </w:pPr>
            <w:r>
              <w:rPr>
                <w:color w:val="000000"/>
                <w:sz w:val="18"/>
                <w:szCs w:val="18"/>
              </w:rPr>
              <w:t>严格执行采购流程进行采购，得</w:t>
            </w:r>
            <w:r>
              <w:rPr>
                <w:color w:val="000000"/>
                <w:sz w:val="18"/>
                <w:szCs w:val="18"/>
              </w:rPr>
              <w:t>1</w:t>
            </w:r>
            <w:r>
              <w:rPr>
                <w:color w:val="000000"/>
                <w:sz w:val="18"/>
                <w:szCs w:val="18"/>
              </w:rPr>
              <w:t>分；未严格执行，每发现一例扣除</w:t>
            </w:r>
            <w:r>
              <w:rPr>
                <w:color w:val="000000"/>
                <w:sz w:val="18"/>
                <w:szCs w:val="18"/>
              </w:rPr>
              <w:t>0.2</w:t>
            </w:r>
            <w:r>
              <w:rPr>
                <w:color w:val="000000"/>
                <w:sz w:val="18"/>
                <w:szCs w:val="18"/>
              </w:rPr>
              <w:t>分，扣完为止。</w:t>
            </w:r>
          </w:p>
        </w:tc>
        <w:tc>
          <w:tcPr>
            <w:tcW w:w="964" w:type="pct"/>
            <w:tcBorders>
              <w:top w:val="nil"/>
              <w:left w:val="nil"/>
              <w:bottom w:val="single" w:sz="4" w:space="0" w:color="auto"/>
              <w:right w:val="single" w:sz="4" w:space="0" w:color="auto"/>
            </w:tcBorders>
            <w:vAlign w:val="center"/>
          </w:tcPr>
          <w:p w14:paraId="4FB22043" w14:textId="77777777" w:rsidR="00260726" w:rsidRDefault="00E936D8">
            <w:pPr>
              <w:widowControl/>
              <w:adjustRightInd w:val="0"/>
              <w:snapToGrid w:val="0"/>
              <w:jc w:val="left"/>
              <w:rPr>
                <w:color w:val="000000"/>
                <w:kern w:val="0"/>
                <w:sz w:val="18"/>
                <w:szCs w:val="18"/>
              </w:rPr>
            </w:pPr>
            <w:r>
              <w:rPr>
                <w:color w:val="000000"/>
                <w:kern w:val="0"/>
                <w:sz w:val="18"/>
                <w:szCs w:val="18"/>
              </w:rPr>
              <w:t>严格执行采购流程进行采购。</w:t>
            </w:r>
          </w:p>
        </w:tc>
        <w:tc>
          <w:tcPr>
            <w:tcW w:w="239" w:type="pct"/>
            <w:tcBorders>
              <w:top w:val="nil"/>
              <w:left w:val="nil"/>
              <w:bottom w:val="single" w:sz="4" w:space="0" w:color="auto"/>
              <w:right w:val="single" w:sz="4" w:space="0" w:color="auto"/>
            </w:tcBorders>
            <w:noWrap/>
            <w:vAlign w:val="center"/>
          </w:tcPr>
          <w:p w14:paraId="7E4F05B1"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260AF671"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6576B1A3"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20FF876A" w14:textId="40EB241A" w:rsidR="00260726" w:rsidRDefault="00E936D8">
            <w:pPr>
              <w:widowControl/>
              <w:adjustRightInd w:val="0"/>
              <w:snapToGrid w:val="0"/>
              <w:jc w:val="center"/>
              <w:rPr>
                <w:color w:val="000000"/>
                <w:kern w:val="0"/>
                <w:sz w:val="18"/>
                <w:szCs w:val="18"/>
              </w:rPr>
            </w:pPr>
            <w:r>
              <w:rPr>
                <w:color w:val="000000"/>
                <w:kern w:val="0"/>
                <w:sz w:val="18"/>
                <w:szCs w:val="18"/>
              </w:rPr>
              <w:t>合同</w:t>
            </w:r>
            <w:r w:rsidR="0085752A">
              <w:rPr>
                <w:rFonts w:hint="eastAsia"/>
                <w:color w:val="000000"/>
                <w:kern w:val="0"/>
                <w:sz w:val="18"/>
                <w:szCs w:val="18"/>
              </w:rPr>
              <w:t xml:space="preserve">  </w:t>
            </w:r>
            <w:r>
              <w:rPr>
                <w:color w:val="000000"/>
                <w:kern w:val="0"/>
                <w:sz w:val="18"/>
                <w:szCs w:val="18"/>
              </w:rPr>
              <w:t>管理</w:t>
            </w:r>
          </w:p>
        </w:tc>
        <w:tc>
          <w:tcPr>
            <w:tcW w:w="483" w:type="pct"/>
            <w:tcBorders>
              <w:top w:val="single" w:sz="4" w:space="0" w:color="auto"/>
              <w:left w:val="nil"/>
              <w:bottom w:val="single" w:sz="4" w:space="0" w:color="auto"/>
              <w:right w:val="single" w:sz="4" w:space="0" w:color="auto"/>
            </w:tcBorders>
            <w:vAlign w:val="center"/>
          </w:tcPr>
          <w:p w14:paraId="75499241" w14:textId="77777777" w:rsidR="00260726" w:rsidRDefault="00E936D8">
            <w:pPr>
              <w:widowControl/>
              <w:adjustRightInd w:val="0"/>
              <w:snapToGrid w:val="0"/>
              <w:jc w:val="center"/>
              <w:rPr>
                <w:color w:val="000000"/>
                <w:kern w:val="0"/>
                <w:sz w:val="18"/>
                <w:szCs w:val="18"/>
              </w:rPr>
            </w:pPr>
            <w:r>
              <w:rPr>
                <w:color w:val="000000"/>
                <w:kern w:val="0"/>
                <w:sz w:val="18"/>
                <w:szCs w:val="18"/>
              </w:rPr>
              <w:t>合同管理制度健全性</w:t>
            </w:r>
          </w:p>
        </w:tc>
        <w:tc>
          <w:tcPr>
            <w:tcW w:w="288" w:type="pct"/>
            <w:tcBorders>
              <w:top w:val="single" w:sz="4" w:space="0" w:color="auto"/>
              <w:left w:val="nil"/>
              <w:bottom w:val="single" w:sz="4" w:space="0" w:color="auto"/>
              <w:right w:val="single" w:sz="4" w:space="0" w:color="auto"/>
            </w:tcBorders>
            <w:vAlign w:val="center"/>
          </w:tcPr>
          <w:p w14:paraId="2B5FC322" w14:textId="77777777" w:rsidR="00260726" w:rsidRDefault="00E936D8">
            <w:pPr>
              <w:widowControl/>
              <w:adjustRightInd w:val="0"/>
              <w:snapToGrid w:val="0"/>
              <w:jc w:val="center"/>
              <w:rPr>
                <w:color w:val="000000"/>
                <w:kern w:val="0"/>
                <w:sz w:val="18"/>
                <w:szCs w:val="18"/>
              </w:rPr>
            </w:pPr>
            <w:r>
              <w:rPr>
                <w:color w:val="000000"/>
                <w:kern w:val="0"/>
                <w:sz w:val="18"/>
                <w:szCs w:val="18"/>
              </w:rPr>
              <w:t>健全</w:t>
            </w:r>
          </w:p>
        </w:tc>
        <w:tc>
          <w:tcPr>
            <w:tcW w:w="192" w:type="pct"/>
            <w:tcBorders>
              <w:top w:val="single" w:sz="4" w:space="0" w:color="auto"/>
              <w:left w:val="nil"/>
              <w:bottom w:val="single" w:sz="4" w:space="0" w:color="auto"/>
              <w:right w:val="single" w:sz="4" w:space="0" w:color="auto"/>
            </w:tcBorders>
            <w:noWrap/>
            <w:vAlign w:val="center"/>
          </w:tcPr>
          <w:p w14:paraId="3043AAF4"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6FC2E74B" w14:textId="77777777" w:rsidR="00260726" w:rsidRDefault="00E936D8">
            <w:pPr>
              <w:adjustRightInd w:val="0"/>
              <w:snapToGrid w:val="0"/>
              <w:rPr>
                <w:color w:val="000000"/>
                <w:sz w:val="18"/>
                <w:szCs w:val="18"/>
              </w:rPr>
            </w:pPr>
            <w:r>
              <w:rPr>
                <w:color w:val="000000"/>
                <w:sz w:val="18"/>
                <w:szCs w:val="18"/>
              </w:rPr>
              <w:t>已制订合同管理制度，得</w:t>
            </w:r>
            <w:r>
              <w:rPr>
                <w:color w:val="000000"/>
                <w:sz w:val="18"/>
                <w:szCs w:val="18"/>
              </w:rPr>
              <w:t>1</w:t>
            </w:r>
            <w:r>
              <w:rPr>
                <w:color w:val="000000"/>
                <w:sz w:val="18"/>
                <w:szCs w:val="18"/>
              </w:rPr>
              <w:t>分；未制订制度的不得分。</w:t>
            </w:r>
          </w:p>
        </w:tc>
        <w:tc>
          <w:tcPr>
            <w:tcW w:w="964" w:type="pct"/>
            <w:tcBorders>
              <w:top w:val="single" w:sz="4" w:space="0" w:color="auto"/>
              <w:left w:val="nil"/>
              <w:bottom w:val="single" w:sz="4" w:space="0" w:color="auto"/>
              <w:right w:val="single" w:sz="4" w:space="0" w:color="auto"/>
            </w:tcBorders>
            <w:vAlign w:val="center"/>
          </w:tcPr>
          <w:p w14:paraId="04F381B2" w14:textId="77777777" w:rsidR="00260726" w:rsidRDefault="00E936D8">
            <w:pPr>
              <w:widowControl/>
              <w:adjustRightInd w:val="0"/>
              <w:snapToGrid w:val="0"/>
              <w:jc w:val="left"/>
              <w:rPr>
                <w:color w:val="000000"/>
                <w:kern w:val="0"/>
                <w:sz w:val="18"/>
                <w:szCs w:val="18"/>
              </w:rPr>
            </w:pPr>
            <w:r>
              <w:rPr>
                <w:color w:val="000000"/>
                <w:kern w:val="0"/>
                <w:sz w:val="18"/>
                <w:szCs w:val="18"/>
              </w:rPr>
              <w:t>已制订合同管理制度。</w:t>
            </w:r>
          </w:p>
        </w:tc>
        <w:tc>
          <w:tcPr>
            <w:tcW w:w="239" w:type="pct"/>
            <w:tcBorders>
              <w:top w:val="single" w:sz="4" w:space="0" w:color="auto"/>
              <w:left w:val="nil"/>
              <w:bottom w:val="single" w:sz="4" w:space="0" w:color="auto"/>
              <w:right w:val="single" w:sz="4" w:space="0" w:color="auto"/>
            </w:tcBorders>
            <w:noWrap/>
            <w:vAlign w:val="center"/>
          </w:tcPr>
          <w:p w14:paraId="7E88198C"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1ECCA72B"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63D76DAD"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66EE5E23"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45913CD9" w14:textId="77777777" w:rsidR="00260726" w:rsidRDefault="00E936D8">
            <w:pPr>
              <w:widowControl/>
              <w:adjustRightInd w:val="0"/>
              <w:snapToGrid w:val="0"/>
              <w:jc w:val="center"/>
              <w:rPr>
                <w:color w:val="000000"/>
                <w:kern w:val="0"/>
                <w:sz w:val="18"/>
                <w:szCs w:val="18"/>
              </w:rPr>
            </w:pPr>
            <w:r>
              <w:rPr>
                <w:color w:val="000000"/>
                <w:kern w:val="0"/>
                <w:sz w:val="18"/>
                <w:szCs w:val="18"/>
              </w:rPr>
              <w:t>合同管理制度执行有效性</w:t>
            </w:r>
          </w:p>
        </w:tc>
        <w:tc>
          <w:tcPr>
            <w:tcW w:w="288" w:type="pct"/>
            <w:tcBorders>
              <w:top w:val="single" w:sz="4" w:space="0" w:color="auto"/>
              <w:left w:val="nil"/>
              <w:bottom w:val="single" w:sz="4" w:space="0" w:color="auto"/>
              <w:right w:val="single" w:sz="4" w:space="0" w:color="auto"/>
            </w:tcBorders>
            <w:vAlign w:val="center"/>
          </w:tcPr>
          <w:p w14:paraId="62BD7519" w14:textId="77777777" w:rsidR="00260726" w:rsidRDefault="00E936D8">
            <w:pPr>
              <w:widowControl/>
              <w:adjustRightInd w:val="0"/>
              <w:snapToGrid w:val="0"/>
              <w:jc w:val="center"/>
              <w:rPr>
                <w:color w:val="000000"/>
                <w:kern w:val="0"/>
                <w:sz w:val="18"/>
                <w:szCs w:val="18"/>
              </w:rPr>
            </w:pPr>
            <w:r>
              <w:rPr>
                <w:color w:val="000000"/>
                <w:kern w:val="0"/>
                <w:sz w:val="18"/>
                <w:szCs w:val="18"/>
              </w:rPr>
              <w:t>有效</w:t>
            </w:r>
          </w:p>
        </w:tc>
        <w:tc>
          <w:tcPr>
            <w:tcW w:w="192" w:type="pct"/>
            <w:tcBorders>
              <w:top w:val="single" w:sz="4" w:space="0" w:color="auto"/>
              <w:left w:val="nil"/>
              <w:bottom w:val="single" w:sz="4" w:space="0" w:color="auto"/>
              <w:right w:val="single" w:sz="4" w:space="0" w:color="auto"/>
            </w:tcBorders>
            <w:noWrap/>
            <w:vAlign w:val="center"/>
          </w:tcPr>
          <w:p w14:paraId="3A80D6DD"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50E48A73" w14:textId="77777777" w:rsidR="00260726" w:rsidRDefault="00E936D8">
            <w:pPr>
              <w:adjustRightInd w:val="0"/>
              <w:snapToGrid w:val="0"/>
              <w:rPr>
                <w:color w:val="000000"/>
                <w:sz w:val="18"/>
                <w:szCs w:val="18"/>
              </w:rPr>
            </w:pPr>
            <w:r>
              <w:rPr>
                <w:color w:val="000000"/>
                <w:sz w:val="18"/>
                <w:szCs w:val="18"/>
              </w:rPr>
              <w:t>严格执行合同管理规定的，得</w:t>
            </w:r>
            <w:r>
              <w:rPr>
                <w:color w:val="000000"/>
                <w:sz w:val="18"/>
                <w:szCs w:val="18"/>
              </w:rPr>
              <w:t>1</w:t>
            </w:r>
            <w:r>
              <w:rPr>
                <w:color w:val="000000"/>
                <w:sz w:val="18"/>
                <w:szCs w:val="18"/>
              </w:rPr>
              <w:t>分；未严格执行，每发现一例扣除</w:t>
            </w:r>
            <w:r>
              <w:rPr>
                <w:color w:val="000000"/>
                <w:sz w:val="18"/>
                <w:szCs w:val="18"/>
              </w:rPr>
              <w:t>0.2</w:t>
            </w:r>
            <w:r>
              <w:rPr>
                <w:color w:val="000000"/>
                <w:sz w:val="18"/>
                <w:szCs w:val="18"/>
              </w:rPr>
              <w:t>分，扣完为止。</w:t>
            </w:r>
          </w:p>
        </w:tc>
        <w:tc>
          <w:tcPr>
            <w:tcW w:w="964" w:type="pct"/>
            <w:tcBorders>
              <w:top w:val="single" w:sz="4" w:space="0" w:color="auto"/>
              <w:left w:val="nil"/>
              <w:bottom w:val="single" w:sz="4" w:space="0" w:color="auto"/>
              <w:right w:val="single" w:sz="4" w:space="0" w:color="auto"/>
            </w:tcBorders>
            <w:vAlign w:val="center"/>
          </w:tcPr>
          <w:p w14:paraId="13D2FB49" w14:textId="77777777" w:rsidR="00260726" w:rsidRDefault="00E936D8">
            <w:pPr>
              <w:widowControl/>
              <w:adjustRightInd w:val="0"/>
              <w:snapToGrid w:val="0"/>
              <w:jc w:val="left"/>
              <w:rPr>
                <w:color w:val="000000"/>
                <w:kern w:val="0"/>
                <w:sz w:val="18"/>
                <w:szCs w:val="18"/>
              </w:rPr>
            </w:pPr>
            <w:r>
              <w:rPr>
                <w:color w:val="000000"/>
                <w:kern w:val="0"/>
                <w:sz w:val="18"/>
                <w:szCs w:val="18"/>
              </w:rPr>
              <w:t>严格执行合同管理规定</w:t>
            </w:r>
          </w:p>
        </w:tc>
        <w:tc>
          <w:tcPr>
            <w:tcW w:w="239" w:type="pct"/>
            <w:tcBorders>
              <w:top w:val="single" w:sz="4" w:space="0" w:color="auto"/>
              <w:left w:val="nil"/>
              <w:bottom w:val="single" w:sz="4" w:space="0" w:color="auto"/>
              <w:right w:val="single" w:sz="4" w:space="0" w:color="auto"/>
            </w:tcBorders>
            <w:noWrap/>
            <w:vAlign w:val="center"/>
          </w:tcPr>
          <w:p w14:paraId="0B54E64B"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56793317"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1983E41F"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5D7397AB" w14:textId="648FE159" w:rsidR="00260726" w:rsidRDefault="00E936D8">
            <w:pPr>
              <w:widowControl/>
              <w:adjustRightInd w:val="0"/>
              <w:snapToGrid w:val="0"/>
              <w:jc w:val="center"/>
              <w:rPr>
                <w:color w:val="000000"/>
                <w:kern w:val="0"/>
                <w:sz w:val="18"/>
                <w:szCs w:val="18"/>
              </w:rPr>
            </w:pPr>
            <w:r>
              <w:rPr>
                <w:color w:val="000000"/>
                <w:kern w:val="0"/>
                <w:sz w:val="18"/>
                <w:szCs w:val="18"/>
              </w:rPr>
              <w:t>人员</w:t>
            </w:r>
            <w:r w:rsidR="0085752A">
              <w:rPr>
                <w:rFonts w:hint="eastAsia"/>
                <w:color w:val="000000"/>
                <w:kern w:val="0"/>
                <w:sz w:val="18"/>
                <w:szCs w:val="18"/>
              </w:rPr>
              <w:t xml:space="preserve">  </w:t>
            </w:r>
            <w:r>
              <w:rPr>
                <w:color w:val="000000"/>
                <w:kern w:val="0"/>
                <w:sz w:val="18"/>
                <w:szCs w:val="18"/>
              </w:rPr>
              <w:t>管理</w:t>
            </w:r>
          </w:p>
        </w:tc>
        <w:tc>
          <w:tcPr>
            <w:tcW w:w="483" w:type="pct"/>
            <w:tcBorders>
              <w:top w:val="single" w:sz="4" w:space="0" w:color="auto"/>
              <w:left w:val="single" w:sz="4" w:space="0" w:color="auto"/>
              <w:bottom w:val="single" w:sz="4" w:space="0" w:color="auto"/>
              <w:right w:val="single" w:sz="4" w:space="0" w:color="auto"/>
            </w:tcBorders>
            <w:vAlign w:val="center"/>
          </w:tcPr>
          <w:p w14:paraId="4FE152B9" w14:textId="77777777" w:rsidR="00260726" w:rsidRDefault="00E936D8">
            <w:pPr>
              <w:widowControl/>
              <w:adjustRightInd w:val="0"/>
              <w:snapToGrid w:val="0"/>
              <w:jc w:val="center"/>
              <w:rPr>
                <w:color w:val="000000"/>
                <w:kern w:val="0"/>
                <w:sz w:val="18"/>
                <w:szCs w:val="18"/>
              </w:rPr>
            </w:pPr>
            <w:r>
              <w:rPr>
                <w:color w:val="000000"/>
                <w:kern w:val="0"/>
                <w:sz w:val="18"/>
                <w:szCs w:val="18"/>
              </w:rPr>
              <w:t>人员管理制度健全性</w:t>
            </w:r>
          </w:p>
        </w:tc>
        <w:tc>
          <w:tcPr>
            <w:tcW w:w="288" w:type="pct"/>
            <w:tcBorders>
              <w:top w:val="single" w:sz="4" w:space="0" w:color="auto"/>
              <w:left w:val="single" w:sz="4" w:space="0" w:color="auto"/>
              <w:bottom w:val="single" w:sz="4" w:space="0" w:color="auto"/>
              <w:right w:val="single" w:sz="4" w:space="0" w:color="auto"/>
            </w:tcBorders>
            <w:vAlign w:val="center"/>
          </w:tcPr>
          <w:p w14:paraId="16C74BBF" w14:textId="77777777" w:rsidR="00260726" w:rsidRDefault="00E936D8">
            <w:pPr>
              <w:widowControl/>
              <w:adjustRightInd w:val="0"/>
              <w:snapToGrid w:val="0"/>
              <w:jc w:val="center"/>
              <w:rPr>
                <w:color w:val="000000"/>
                <w:kern w:val="0"/>
                <w:sz w:val="18"/>
                <w:szCs w:val="18"/>
              </w:rPr>
            </w:pPr>
            <w:r>
              <w:rPr>
                <w:color w:val="000000"/>
                <w:kern w:val="0"/>
                <w:sz w:val="18"/>
                <w:szCs w:val="18"/>
              </w:rPr>
              <w:t>健全</w:t>
            </w:r>
          </w:p>
        </w:tc>
        <w:tc>
          <w:tcPr>
            <w:tcW w:w="192" w:type="pct"/>
            <w:tcBorders>
              <w:top w:val="single" w:sz="4" w:space="0" w:color="auto"/>
              <w:left w:val="single" w:sz="4" w:space="0" w:color="auto"/>
              <w:bottom w:val="single" w:sz="4" w:space="0" w:color="auto"/>
              <w:right w:val="single" w:sz="4" w:space="0" w:color="auto"/>
            </w:tcBorders>
            <w:noWrap/>
            <w:vAlign w:val="center"/>
          </w:tcPr>
          <w:p w14:paraId="394ADFE7"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04B60C0D" w14:textId="77777777" w:rsidR="00260726" w:rsidRDefault="00E936D8">
            <w:pPr>
              <w:adjustRightInd w:val="0"/>
              <w:snapToGrid w:val="0"/>
              <w:rPr>
                <w:color w:val="000000"/>
                <w:sz w:val="18"/>
                <w:szCs w:val="18"/>
              </w:rPr>
            </w:pPr>
            <w:r>
              <w:rPr>
                <w:color w:val="000000"/>
                <w:sz w:val="18"/>
                <w:szCs w:val="18"/>
              </w:rPr>
              <w:t>已制订人员管理制度，得</w:t>
            </w:r>
            <w:r>
              <w:rPr>
                <w:color w:val="000000"/>
                <w:sz w:val="18"/>
                <w:szCs w:val="18"/>
              </w:rPr>
              <w:t>1</w:t>
            </w:r>
            <w:r>
              <w:rPr>
                <w:color w:val="000000"/>
                <w:sz w:val="18"/>
                <w:szCs w:val="18"/>
              </w:rPr>
              <w:t>分；未制订制度的不得分。</w:t>
            </w:r>
          </w:p>
        </w:tc>
        <w:tc>
          <w:tcPr>
            <w:tcW w:w="964" w:type="pct"/>
            <w:tcBorders>
              <w:top w:val="single" w:sz="4" w:space="0" w:color="auto"/>
              <w:left w:val="single" w:sz="4" w:space="0" w:color="auto"/>
              <w:bottom w:val="single" w:sz="4" w:space="0" w:color="auto"/>
              <w:right w:val="single" w:sz="4" w:space="0" w:color="auto"/>
            </w:tcBorders>
            <w:vAlign w:val="center"/>
          </w:tcPr>
          <w:p w14:paraId="32B364D5" w14:textId="77777777" w:rsidR="00260726" w:rsidRDefault="00E936D8">
            <w:pPr>
              <w:widowControl/>
              <w:adjustRightInd w:val="0"/>
              <w:snapToGrid w:val="0"/>
              <w:jc w:val="left"/>
              <w:rPr>
                <w:color w:val="000000"/>
                <w:kern w:val="0"/>
                <w:sz w:val="18"/>
                <w:szCs w:val="18"/>
              </w:rPr>
            </w:pPr>
            <w:r>
              <w:rPr>
                <w:color w:val="000000"/>
                <w:kern w:val="0"/>
                <w:sz w:val="18"/>
                <w:szCs w:val="18"/>
              </w:rPr>
              <w:t>已制订人员管理制度。</w:t>
            </w:r>
          </w:p>
        </w:tc>
        <w:tc>
          <w:tcPr>
            <w:tcW w:w="239" w:type="pct"/>
            <w:tcBorders>
              <w:top w:val="single" w:sz="4" w:space="0" w:color="auto"/>
              <w:left w:val="single" w:sz="4" w:space="0" w:color="auto"/>
              <w:bottom w:val="single" w:sz="4" w:space="0" w:color="auto"/>
              <w:right w:val="single" w:sz="4" w:space="0" w:color="auto"/>
            </w:tcBorders>
            <w:noWrap/>
            <w:vAlign w:val="center"/>
          </w:tcPr>
          <w:p w14:paraId="665433EF"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72E688AD"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0FA1255A"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0DA04F60"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58117F87" w14:textId="77777777" w:rsidR="00260726" w:rsidRDefault="00E936D8">
            <w:pPr>
              <w:widowControl/>
              <w:adjustRightInd w:val="0"/>
              <w:snapToGrid w:val="0"/>
              <w:jc w:val="center"/>
              <w:rPr>
                <w:color w:val="000000"/>
                <w:kern w:val="0"/>
                <w:sz w:val="18"/>
                <w:szCs w:val="18"/>
              </w:rPr>
            </w:pPr>
            <w:r>
              <w:rPr>
                <w:color w:val="000000"/>
                <w:kern w:val="0"/>
                <w:sz w:val="18"/>
                <w:szCs w:val="18"/>
              </w:rPr>
              <w:t>人员管理制度执行有效性</w:t>
            </w:r>
          </w:p>
        </w:tc>
        <w:tc>
          <w:tcPr>
            <w:tcW w:w="288" w:type="pct"/>
            <w:tcBorders>
              <w:top w:val="single" w:sz="4" w:space="0" w:color="auto"/>
              <w:left w:val="single" w:sz="4" w:space="0" w:color="auto"/>
              <w:bottom w:val="single" w:sz="4" w:space="0" w:color="auto"/>
              <w:right w:val="single" w:sz="4" w:space="0" w:color="auto"/>
            </w:tcBorders>
            <w:vAlign w:val="center"/>
          </w:tcPr>
          <w:p w14:paraId="78FC7580" w14:textId="77777777" w:rsidR="00260726" w:rsidRDefault="00E936D8">
            <w:pPr>
              <w:widowControl/>
              <w:adjustRightInd w:val="0"/>
              <w:snapToGrid w:val="0"/>
              <w:jc w:val="center"/>
              <w:rPr>
                <w:color w:val="000000"/>
                <w:kern w:val="0"/>
                <w:sz w:val="18"/>
                <w:szCs w:val="18"/>
              </w:rPr>
            </w:pPr>
            <w:r>
              <w:rPr>
                <w:color w:val="000000"/>
                <w:kern w:val="0"/>
                <w:sz w:val="18"/>
                <w:szCs w:val="18"/>
              </w:rPr>
              <w:t>有效</w:t>
            </w:r>
          </w:p>
        </w:tc>
        <w:tc>
          <w:tcPr>
            <w:tcW w:w="192" w:type="pct"/>
            <w:tcBorders>
              <w:top w:val="single" w:sz="4" w:space="0" w:color="auto"/>
              <w:left w:val="single" w:sz="4" w:space="0" w:color="auto"/>
              <w:bottom w:val="single" w:sz="4" w:space="0" w:color="auto"/>
              <w:right w:val="single" w:sz="4" w:space="0" w:color="auto"/>
            </w:tcBorders>
            <w:noWrap/>
            <w:vAlign w:val="center"/>
          </w:tcPr>
          <w:p w14:paraId="6821176A"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600BA17C" w14:textId="77777777" w:rsidR="00260726" w:rsidRDefault="00E936D8">
            <w:pPr>
              <w:adjustRightInd w:val="0"/>
              <w:snapToGrid w:val="0"/>
              <w:rPr>
                <w:color w:val="000000"/>
                <w:sz w:val="18"/>
                <w:szCs w:val="18"/>
              </w:rPr>
            </w:pPr>
            <w:r>
              <w:rPr>
                <w:color w:val="000000"/>
                <w:sz w:val="18"/>
                <w:szCs w:val="18"/>
              </w:rPr>
              <w:t>严格执行人员管理规定的，得</w:t>
            </w:r>
            <w:r>
              <w:rPr>
                <w:color w:val="000000"/>
                <w:sz w:val="18"/>
                <w:szCs w:val="18"/>
              </w:rPr>
              <w:t>1</w:t>
            </w:r>
            <w:r>
              <w:rPr>
                <w:color w:val="000000"/>
                <w:sz w:val="18"/>
                <w:szCs w:val="18"/>
              </w:rPr>
              <w:t>分；未严格执行，每发现一例扣除</w:t>
            </w:r>
            <w:r>
              <w:rPr>
                <w:color w:val="000000"/>
                <w:sz w:val="18"/>
                <w:szCs w:val="18"/>
              </w:rPr>
              <w:t>0.2</w:t>
            </w:r>
            <w:r>
              <w:rPr>
                <w:color w:val="000000"/>
                <w:sz w:val="18"/>
                <w:szCs w:val="18"/>
              </w:rPr>
              <w:t>分，扣完为止。</w:t>
            </w:r>
          </w:p>
        </w:tc>
        <w:tc>
          <w:tcPr>
            <w:tcW w:w="964" w:type="pct"/>
            <w:tcBorders>
              <w:top w:val="single" w:sz="4" w:space="0" w:color="auto"/>
              <w:left w:val="single" w:sz="4" w:space="0" w:color="auto"/>
              <w:bottom w:val="single" w:sz="4" w:space="0" w:color="auto"/>
              <w:right w:val="single" w:sz="4" w:space="0" w:color="auto"/>
            </w:tcBorders>
            <w:vAlign w:val="center"/>
          </w:tcPr>
          <w:p w14:paraId="0C6241AE" w14:textId="77777777" w:rsidR="00260726" w:rsidRDefault="00E936D8">
            <w:pPr>
              <w:widowControl/>
              <w:adjustRightInd w:val="0"/>
              <w:snapToGrid w:val="0"/>
              <w:jc w:val="left"/>
              <w:rPr>
                <w:color w:val="000000"/>
                <w:kern w:val="0"/>
                <w:sz w:val="18"/>
                <w:szCs w:val="18"/>
              </w:rPr>
            </w:pPr>
            <w:r>
              <w:rPr>
                <w:color w:val="000000"/>
                <w:kern w:val="0"/>
                <w:sz w:val="18"/>
                <w:szCs w:val="18"/>
              </w:rPr>
              <w:t>严格执行人员管理规定。</w:t>
            </w:r>
          </w:p>
        </w:tc>
        <w:tc>
          <w:tcPr>
            <w:tcW w:w="239" w:type="pct"/>
            <w:tcBorders>
              <w:top w:val="single" w:sz="4" w:space="0" w:color="auto"/>
              <w:left w:val="single" w:sz="4" w:space="0" w:color="auto"/>
              <w:bottom w:val="single" w:sz="4" w:space="0" w:color="auto"/>
              <w:right w:val="single" w:sz="4" w:space="0" w:color="auto"/>
            </w:tcBorders>
            <w:noWrap/>
            <w:vAlign w:val="center"/>
          </w:tcPr>
          <w:p w14:paraId="4C3BCF0F"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7929300B" w14:textId="77777777">
        <w:trPr>
          <w:trHeight w:val="734"/>
        </w:trPr>
        <w:tc>
          <w:tcPr>
            <w:tcW w:w="267" w:type="pct"/>
            <w:vMerge/>
            <w:tcBorders>
              <w:top w:val="single" w:sz="4" w:space="0" w:color="auto"/>
              <w:left w:val="single" w:sz="4" w:space="0" w:color="auto"/>
              <w:bottom w:val="single" w:sz="4" w:space="0" w:color="auto"/>
              <w:right w:val="single" w:sz="4" w:space="0" w:color="auto"/>
            </w:tcBorders>
            <w:vAlign w:val="center"/>
          </w:tcPr>
          <w:p w14:paraId="0F9759AE"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6E197015"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150927B3" w14:textId="77777777" w:rsidR="00260726" w:rsidRDefault="00E936D8">
            <w:pPr>
              <w:widowControl/>
              <w:adjustRightInd w:val="0"/>
              <w:snapToGrid w:val="0"/>
              <w:jc w:val="center"/>
              <w:rPr>
                <w:color w:val="000000"/>
                <w:kern w:val="0"/>
                <w:sz w:val="18"/>
                <w:szCs w:val="18"/>
              </w:rPr>
            </w:pPr>
            <w:r>
              <w:rPr>
                <w:color w:val="000000"/>
                <w:kern w:val="0"/>
                <w:sz w:val="18"/>
                <w:szCs w:val="18"/>
              </w:rPr>
              <w:t>财政供养人员控制率</w:t>
            </w:r>
          </w:p>
        </w:tc>
        <w:tc>
          <w:tcPr>
            <w:tcW w:w="288" w:type="pct"/>
            <w:tcBorders>
              <w:top w:val="single" w:sz="4" w:space="0" w:color="auto"/>
              <w:left w:val="single" w:sz="4" w:space="0" w:color="auto"/>
              <w:bottom w:val="single" w:sz="4" w:space="0" w:color="auto"/>
              <w:right w:val="single" w:sz="4" w:space="0" w:color="auto"/>
            </w:tcBorders>
            <w:vAlign w:val="center"/>
          </w:tcPr>
          <w:p w14:paraId="42845358" w14:textId="77777777" w:rsidR="00260726" w:rsidRDefault="00E936D8">
            <w:pPr>
              <w:widowControl/>
              <w:adjustRightInd w:val="0"/>
              <w:snapToGrid w:val="0"/>
              <w:jc w:val="center"/>
              <w:rPr>
                <w:color w:val="000000"/>
                <w:kern w:val="0"/>
                <w:sz w:val="18"/>
                <w:szCs w:val="18"/>
              </w:rPr>
            </w:pPr>
            <w:r>
              <w:rPr>
                <w:color w:val="000000"/>
                <w:kern w:val="0"/>
                <w:sz w:val="18"/>
                <w:szCs w:val="18"/>
              </w:rPr>
              <w:t>≤100%</w:t>
            </w:r>
          </w:p>
        </w:tc>
        <w:tc>
          <w:tcPr>
            <w:tcW w:w="192" w:type="pct"/>
            <w:tcBorders>
              <w:top w:val="single" w:sz="4" w:space="0" w:color="auto"/>
              <w:left w:val="single" w:sz="4" w:space="0" w:color="auto"/>
              <w:bottom w:val="single" w:sz="4" w:space="0" w:color="auto"/>
              <w:right w:val="single" w:sz="4" w:space="0" w:color="auto"/>
            </w:tcBorders>
            <w:noWrap/>
            <w:vAlign w:val="center"/>
          </w:tcPr>
          <w:p w14:paraId="14FBEC05"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7991B886" w14:textId="77777777" w:rsidR="00260726" w:rsidRDefault="00E936D8">
            <w:pPr>
              <w:adjustRightInd w:val="0"/>
              <w:snapToGrid w:val="0"/>
              <w:rPr>
                <w:color w:val="000000"/>
                <w:sz w:val="18"/>
                <w:szCs w:val="18"/>
              </w:rPr>
            </w:pPr>
            <w:r>
              <w:rPr>
                <w:color w:val="000000"/>
                <w:sz w:val="18"/>
                <w:szCs w:val="18"/>
              </w:rPr>
              <w:t>财政供养人员控制率</w:t>
            </w:r>
            <w:r>
              <w:rPr>
                <w:color w:val="000000"/>
                <w:sz w:val="18"/>
                <w:szCs w:val="18"/>
              </w:rPr>
              <w:t>=</w:t>
            </w:r>
            <w:r>
              <w:rPr>
                <w:color w:val="000000"/>
                <w:sz w:val="18"/>
                <w:szCs w:val="18"/>
              </w:rPr>
              <w:t>（财政全额拨款供养在职人员数</w:t>
            </w:r>
            <w:r>
              <w:rPr>
                <w:color w:val="000000"/>
                <w:sz w:val="18"/>
                <w:szCs w:val="18"/>
              </w:rPr>
              <w:t>/</w:t>
            </w:r>
            <w:r>
              <w:rPr>
                <w:color w:val="000000"/>
                <w:sz w:val="18"/>
                <w:szCs w:val="18"/>
              </w:rPr>
              <w:t>编制数）</w:t>
            </w:r>
            <w:r>
              <w:rPr>
                <w:color w:val="000000"/>
                <w:sz w:val="18"/>
                <w:szCs w:val="18"/>
              </w:rPr>
              <w:t>×100%</w:t>
            </w:r>
            <w:r>
              <w:rPr>
                <w:color w:val="000000"/>
                <w:sz w:val="18"/>
                <w:szCs w:val="18"/>
              </w:rPr>
              <w:t>。控制率在</w:t>
            </w:r>
            <w:r>
              <w:rPr>
                <w:color w:val="000000"/>
                <w:sz w:val="18"/>
                <w:szCs w:val="18"/>
              </w:rPr>
              <w:t>100%</w:t>
            </w:r>
            <w:r>
              <w:rPr>
                <w:color w:val="000000"/>
                <w:sz w:val="18"/>
                <w:szCs w:val="18"/>
              </w:rPr>
              <w:t>（含）以下，得满分；每超出</w:t>
            </w:r>
            <w:r>
              <w:rPr>
                <w:color w:val="000000"/>
                <w:sz w:val="18"/>
                <w:szCs w:val="18"/>
              </w:rPr>
              <w:t>1%</w:t>
            </w:r>
            <w:r>
              <w:rPr>
                <w:color w:val="000000"/>
                <w:sz w:val="18"/>
                <w:szCs w:val="18"/>
              </w:rPr>
              <w:t>扣除</w:t>
            </w:r>
            <w:r>
              <w:rPr>
                <w:color w:val="000000"/>
                <w:sz w:val="18"/>
                <w:szCs w:val="18"/>
              </w:rPr>
              <w:t>5%</w:t>
            </w:r>
            <w:r>
              <w:rPr>
                <w:color w:val="000000"/>
                <w:sz w:val="18"/>
                <w:szCs w:val="18"/>
              </w:rPr>
              <w:t>的权重分，扣完为止。</w:t>
            </w:r>
          </w:p>
        </w:tc>
        <w:tc>
          <w:tcPr>
            <w:tcW w:w="964" w:type="pct"/>
            <w:tcBorders>
              <w:top w:val="single" w:sz="4" w:space="0" w:color="auto"/>
              <w:left w:val="single" w:sz="4" w:space="0" w:color="auto"/>
              <w:bottom w:val="single" w:sz="4" w:space="0" w:color="auto"/>
              <w:right w:val="single" w:sz="4" w:space="0" w:color="auto"/>
            </w:tcBorders>
            <w:vAlign w:val="center"/>
          </w:tcPr>
          <w:p w14:paraId="431ED89D" w14:textId="77777777" w:rsidR="00260726" w:rsidRDefault="00E936D8">
            <w:pPr>
              <w:widowControl/>
              <w:adjustRightInd w:val="0"/>
              <w:snapToGrid w:val="0"/>
              <w:jc w:val="left"/>
              <w:rPr>
                <w:color w:val="000000"/>
                <w:kern w:val="0"/>
                <w:sz w:val="18"/>
                <w:szCs w:val="18"/>
              </w:rPr>
            </w:pPr>
            <w:r>
              <w:rPr>
                <w:color w:val="000000"/>
                <w:kern w:val="0"/>
                <w:sz w:val="18"/>
                <w:szCs w:val="18"/>
              </w:rPr>
              <w:t>财政供养人员控制率在</w:t>
            </w:r>
            <w:r>
              <w:rPr>
                <w:rFonts w:hint="eastAsia"/>
                <w:color w:val="000000"/>
                <w:kern w:val="0"/>
                <w:sz w:val="18"/>
                <w:szCs w:val="18"/>
              </w:rPr>
              <w:t>96.35</w:t>
            </w:r>
            <w:r>
              <w:rPr>
                <w:color w:val="000000"/>
                <w:kern w:val="0"/>
                <w:sz w:val="18"/>
                <w:szCs w:val="18"/>
              </w:rPr>
              <w:t>%</w:t>
            </w:r>
            <w:r>
              <w:rPr>
                <w:color w:val="000000"/>
                <w:kern w:val="0"/>
                <w:sz w:val="18"/>
                <w:szCs w:val="18"/>
              </w:rPr>
              <w:t>。</w:t>
            </w:r>
          </w:p>
        </w:tc>
        <w:tc>
          <w:tcPr>
            <w:tcW w:w="239" w:type="pct"/>
            <w:tcBorders>
              <w:top w:val="single" w:sz="4" w:space="0" w:color="auto"/>
              <w:left w:val="single" w:sz="4" w:space="0" w:color="auto"/>
              <w:bottom w:val="single" w:sz="4" w:space="0" w:color="auto"/>
              <w:right w:val="single" w:sz="4" w:space="0" w:color="auto"/>
            </w:tcBorders>
            <w:noWrap/>
            <w:vAlign w:val="center"/>
          </w:tcPr>
          <w:p w14:paraId="486D4D1D"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057955D6" w14:textId="77777777">
        <w:trPr>
          <w:trHeight w:val="1312"/>
        </w:trPr>
        <w:tc>
          <w:tcPr>
            <w:tcW w:w="267" w:type="pct"/>
            <w:vMerge w:val="restart"/>
            <w:tcBorders>
              <w:top w:val="single" w:sz="4" w:space="0" w:color="auto"/>
              <w:left w:val="single" w:sz="4" w:space="0" w:color="auto"/>
              <w:bottom w:val="single" w:sz="4" w:space="0" w:color="auto"/>
              <w:right w:val="single" w:sz="4" w:space="0" w:color="auto"/>
            </w:tcBorders>
            <w:vAlign w:val="center"/>
          </w:tcPr>
          <w:p w14:paraId="307C2961" w14:textId="77777777" w:rsidR="00260726" w:rsidRDefault="00E936D8">
            <w:pPr>
              <w:widowControl/>
              <w:adjustRightInd w:val="0"/>
              <w:snapToGrid w:val="0"/>
              <w:jc w:val="center"/>
              <w:rPr>
                <w:color w:val="000000"/>
                <w:kern w:val="0"/>
                <w:sz w:val="18"/>
                <w:szCs w:val="18"/>
              </w:rPr>
            </w:pPr>
            <w:r>
              <w:rPr>
                <w:color w:val="000000"/>
                <w:kern w:val="0"/>
                <w:sz w:val="18"/>
                <w:szCs w:val="18"/>
              </w:rPr>
              <w:t>履职</w:t>
            </w: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0D1249E3" w14:textId="78550816" w:rsidR="00260726" w:rsidRDefault="00E936D8">
            <w:pPr>
              <w:widowControl/>
              <w:adjustRightInd w:val="0"/>
              <w:snapToGrid w:val="0"/>
              <w:jc w:val="center"/>
              <w:rPr>
                <w:color w:val="000000"/>
                <w:kern w:val="0"/>
                <w:sz w:val="18"/>
                <w:szCs w:val="18"/>
              </w:rPr>
            </w:pPr>
            <w:r>
              <w:rPr>
                <w:color w:val="000000"/>
                <w:kern w:val="0"/>
                <w:sz w:val="18"/>
                <w:szCs w:val="18"/>
              </w:rPr>
              <w:t>就业</w:t>
            </w:r>
            <w:r w:rsidR="0085752A">
              <w:rPr>
                <w:rFonts w:hint="eastAsia"/>
                <w:color w:val="000000"/>
                <w:kern w:val="0"/>
                <w:sz w:val="18"/>
                <w:szCs w:val="18"/>
              </w:rPr>
              <w:t xml:space="preserve">  </w:t>
            </w:r>
            <w:r>
              <w:rPr>
                <w:color w:val="000000"/>
                <w:kern w:val="0"/>
                <w:sz w:val="18"/>
                <w:szCs w:val="18"/>
              </w:rPr>
              <w:t>创业</w:t>
            </w:r>
          </w:p>
        </w:tc>
        <w:tc>
          <w:tcPr>
            <w:tcW w:w="483" w:type="pct"/>
            <w:tcBorders>
              <w:top w:val="single" w:sz="4" w:space="0" w:color="auto"/>
              <w:left w:val="nil"/>
              <w:bottom w:val="single" w:sz="4" w:space="0" w:color="auto"/>
              <w:right w:val="single" w:sz="4" w:space="0" w:color="auto"/>
            </w:tcBorders>
            <w:vAlign w:val="center"/>
          </w:tcPr>
          <w:p w14:paraId="15DED9AF" w14:textId="77777777" w:rsidR="00260726" w:rsidRDefault="00E936D8">
            <w:pPr>
              <w:widowControl/>
              <w:adjustRightInd w:val="0"/>
              <w:snapToGrid w:val="0"/>
              <w:jc w:val="center"/>
              <w:rPr>
                <w:color w:val="000000"/>
                <w:kern w:val="0"/>
                <w:sz w:val="18"/>
                <w:szCs w:val="18"/>
              </w:rPr>
            </w:pPr>
            <w:r>
              <w:rPr>
                <w:color w:val="000000"/>
                <w:kern w:val="0"/>
                <w:sz w:val="18"/>
                <w:szCs w:val="18"/>
              </w:rPr>
              <w:t>城镇新增就业人数</w:t>
            </w:r>
          </w:p>
        </w:tc>
        <w:tc>
          <w:tcPr>
            <w:tcW w:w="288" w:type="pct"/>
            <w:tcBorders>
              <w:top w:val="single" w:sz="4" w:space="0" w:color="auto"/>
              <w:left w:val="nil"/>
              <w:bottom w:val="single" w:sz="4" w:space="0" w:color="auto"/>
              <w:right w:val="single" w:sz="4" w:space="0" w:color="auto"/>
            </w:tcBorders>
            <w:vAlign w:val="center"/>
          </w:tcPr>
          <w:p w14:paraId="71584470"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20.5</w:t>
            </w:r>
            <w:r>
              <w:rPr>
                <w:color w:val="000000"/>
                <w:kern w:val="0"/>
                <w:sz w:val="18"/>
                <w:szCs w:val="18"/>
              </w:rPr>
              <w:t>万人</w:t>
            </w:r>
          </w:p>
        </w:tc>
        <w:tc>
          <w:tcPr>
            <w:tcW w:w="192" w:type="pct"/>
            <w:tcBorders>
              <w:top w:val="single" w:sz="4" w:space="0" w:color="auto"/>
              <w:left w:val="nil"/>
              <w:bottom w:val="single" w:sz="4" w:space="0" w:color="auto"/>
              <w:right w:val="single" w:sz="4" w:space="0" w:color="auto"/>
            </w:tcBorders>
            <w:noWrap/>
            <w:vAlign w:val="center"/>
          </w:tcPr>
          <w:p w14:paraId="7AA09310"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c>
          <w:tcPr>
            <w:tcW w:w="2264" w:type="pct"/>
            <w:tcBorders>
              <w:top w:val="single" w:sz="4" w:space="0" w:color="auto"/>
              <w:left w:val="nil"/>
              <w:bottom w:val="single" w:sz="4" w:space="0" w:color="auto"/>
              <w:right w:val="single" w:sz="4" w:space="0" w:color="auto"/>
            </w:tcBorders>
            <w:vAlign w:val="center"/>
          </w:tcPr>
          <w:p w14:paraId="5517AA6D" w14:textId="77777777" w:rsidR="00260726" w:rsidRDefault="00E936D8">
            <w:pPr>
              <w:adjustRightInd w:val="0"/>
              <w:snapToGrid w:val="0"/>
              <w:rPr>
                <w:color w:val="000000"/>
                <w:sz w:val="18"/>
                <w:szCs w:val="18"/>
              </w:rPr>
            </w:pPr>
            <w:r>
              <w:rPr>
                <w:color w:val="000000"/>
                <w:sz w:val="18"/>
                <w:szCs w:val="18"/>
              </w:rPr>
              <w:t>城镇累计新就业人数减去累计自然减员人数。城镇累计新就业人数包括新就业的城镇各类单位、私营企业和个体经济组织、社区公益性岗位就业人员数和灵活就业人员数的总和，自然减员人数包括因退休、伤亡等自然原因造成的城镇累计减少的就业人员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nil"/>
              <w:bottom w:val="single" w:sz="4" w:space="0" w:color="auto"/>
              <w:right w:val="single" w:sz="4" w:space="0" w:color="auto"/>
            </w:tcBorders>
            <w:vAlign w:val="center"/>
          </w:tcPr>
          <w:p w14:paraId="79F3BCCF"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21.94</w:t>
            </w:r>
            <w:r>
              <w:rPr>
                <w:color w:val="000000"/>
                <w:kern w:val="0"/>
                <w:sz w:val="18"/>
                <w:szCs w:val="18"/>
              </w:rPr>
              <w:t>万人。</w:t>
            </w:r>
          </w:p>
        </w:tc>
        <w:tc>
          <w:tcPr>
            <w:tcW w:w="239" w:type="pct"/>
            <w:tcBorders>
              <w:top w:val="single" w:sz="4" w:space="0" w:color="auto"/>
              <w:left w:val="nil"/>
              <w:bottom w:val="single" w:sz="4" w:space="0" w:color="auto"/>
              <w:right w:val="single" w:sz="4" w:space="0" w:color="auto"/>
            </w:tcBorders>
            <w:noWrap/>
            <w:vAlign w:val="center"/>
          </w:tcPr>
          <w:p w14:paraId="743AD1D6"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r>
      <w:tr w:rsidR="00260726" w14:paraId="2CCDC668" w14:textId="77777777">
        <w:trPr>
          <w:trHeight w:val="1377"/>
        </w:trPr>
        <w:tc>
          <w:tcPr>
            <w:tcW w:w="267" w:type="pct"/>
            <w:vMerge/>
            <w:tcBorders>
              <w:top w:val="single" w:sz="4" w:space="0" w:color="auto"/>
              <w:left w:val="single" w:sz="4" w:space="0" w:color="auto"/>
              <w:bottom w:val="single" w:sz="4" w:space="0" w:color="auto"/>
              <w:right w:val="single" w:sz="4" w:space="0" w:color="auto"/>
            </w:tcBorders>
            <w:vAlign w:val="center"/>
          </w:tcPr>
          <w:p w14:paraId="5C0911C2"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602B3C18"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32CE9087" w14:textId="77777777" w:rsidR="00260726" w:rsidRDefault="00E936D8">
            <w:pPr>
              <w:widowControl/>
              <w:adjustRightInd w:val="0"/>
              <w:snapToGrid w:val="0"/>
              <w:jc w:val="center"/>
              <w:rPr>
                <w:color w:val="000000"/>
                <w:kern w:val="0"/>
                <w:sz w:val="18"/>
                <w:szCs w:val="18"/>
              </w:rPr>
            </w:pPr>
            <w:r>
              <w:rPr>
                <w:color w:val="000000"/>
                <w:kern w:val="0"/>
                <w:sz w:val="18"/>
                <w:szCs w:val="18"/>
              </w:rPr>
              <w:t>补贴性职业技能培训人数（含城乡劳动者就业培训、创业培训等）</w:t>
            </w:r>
          </w:p>
        </w:tc>
        <w:tc>
          <w:tcPr>
            <w:tcW w:w="288" w:type="pct"/>
            <w:tcBorders>
              <w:top w:val="nil"/>
              <w:left w:val="nil"/>
              <w:bottom w:val="single" w:sz="4" w:space="0" w:color="auto"/>
              <w:right w:val="single" w:sz="4" w:space="0" w:color="auto"/>
            </w:tcBorders>
            <w:vAlign w:val="center"/>
          </w:tcPr>
          <w:p w14:paraId="64EDE1B1"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15</w:t>
            </w:r>
            <w:r>
              <w:rPr>
                <w:color w:val="000000"/>
                <w:kern w:val="0"/>
                <w:sz w:val="18"/>
                <w:szCs w:val="18"/>
              </w:rPr>
              <w:t>万人次</w:t>
            </w:r>
          </w:p>
        </w:tc>
        <w:tc>
          <w:tcPr>
            <w:tcW w:w="192" w:type="pct"/>
            <w:tcBorders>
              <w:top w:val="nil"/>
              <w:left w:val="nil"/>
              <w:bottom w:val="single" w:sz="4" w:space="0" w:color="auto"/>
              <w:right w:val="single" w:sz="4" w:space="0" w:color="auto"/>
            </w:tcBorders>
            <w:noWrap/>
            <w:vAlign w:val="center"/>
          </w:tcPr>
          <w:p w14:paraId="1322CDED"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c>
          <w:tcPr>
            <w:tcW w:w="2264" w:type="pct"/>
            <w:tcBorders>
              <w:top w:val="nil"/>
              <w:left w:val="nil"/>
              <w:bottom w:val="single" w:sz="4" w:space="0" w:color="auto"/>
              <w:right w:val="single" w:sz="4" w:space="0" w:color="auto"/>
            </w:tcBorders>
            <w:vAlign w:val="center"/>
          </w:tcPr>
          <w:p w14:paraId="735E1531" w14:textId="77777777" w:rsidR="00260726" w:rsidRDefault="00E936D8">
            <w:pPr>
              <w:adjustRightInd w:val="0"/>
              <w:snapToGrid w:val="0"/>
              <w:rPr>
                <w:color w:val="000000"/>
                <w:sz w:val="18"/>
                <w:szCs w:val="18"/>
              </w:rPr>
            </w:pPr>
            <w:r>
              <w:rPr>
                <w:color w:val="000000"/>
                <w:sz w:val="18"/>
                <w:szCs w:val="18"/>
              </w:rPr>
              <w:t>补贴性职业技能培训人数（含城乡劳动者就业培训、创业培训等）：组织各类群体参加的享受政府补贴的就业技能培训、企业职工在岗培训、创业培训人（次）数之和。根据目标完成率评分。目标完成率＜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nil"/>
              <w:left w:val="nil"/>
              <w:bottom w:val="single" w:sz="4" w:space="0" w:color="auto"/>
              <w:right w:val="single" w:sz="4" w:space="0" w:color="auto"/>
            </w:tcBorders>
            <w:vAlign w:val="center"/>
          </w:tcPr>
          <w:p w14:paraId="692625E9"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15.4</w:t>
            </w:r>
            <w:r>
              <w:rPr>
                <w:color w:val="000000"/>
                <w:kern w:val="0"/>
                <w:sz w:val="18"/>
                <w:szCs w:val="18"/>
              </w:rPr>
              <w:t>万人次。</w:t>
            </w:r>
          </w:p>
        </w:tc>
        <w:tc>
          <w:tcPr>
            <w:tcW w:w="239" w:type="pct"/>
            <w:tcBorders>
              <w:top w:val="nil"/>
              <w:left w:val="nil"/>
              <w:bottom w:val="single" w:sz="4" w:space="0" w:color="auto"/>
              <w:right w:val="single" w:sz="4" w:space="0" w:color="auto"/>
            </w:tcBorders>
            <w:noWrap/>
            <w:vAlign w:val="center"/>
          </w:tcPr>
          <w:p w14:paraId="6DF14F14"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r>
      <w:tr w:rsidR="00260726" w14:paraId="11728DA1" w14:textId="77777777">
        <w:trPr>
          <w:trHeight w:val="937"/>
        </w:trPr>
        <w:tc>
          <w:tcPr>
            <w:tcW w:w="267" w:type="pct"/>
            <w:vMerge/>
            <w:tcBorders>
              <w:top w:val="single" w:sz="4" w:space="0" w:color="auto"/>
              <w:left w:val="single" w:sz="4" w:space="0" w:color="auto"/>
              <w:bottom w:val="single" w:sz="4" w:space="0" w:color="auto"/>
              <w:right w:val="single" w:sz="4" w:space="0" w:color="auto"/>
            </w:tcBorders>
            <w:vAlign w:val="center"/>
          </w:tcPr>
          <w:p w14:paraId="561CF1F2"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26AC58E0" w14:textId="5637C287" w:rsidR="00260726" w:rsidRDefault="00E936D8">
            <w:pPr>
              <w:widowControl/>
              <w:adjustRightInd w:val="0"/>
              <w:snapToGrid w:val="0"/>
              <w:jc w:val="center"/>
              <w:rPr>
                <w:color w:val="000000"/>
                <w:kern w:val="0"/>
                <w:sz w:val="18"/>
                <w:szCs w:val="18"/>
              </w:rPr>
            </w:pPr>
            <w:r>
              <w:rPr>
                <w:color w:val="000000"/>
                <w:kern w:val="0"/>
                <w:sz w:val="18"/>
                <w:szCs w:val="18"/>
              </w:rPr>
              <w:t>人事</w:t>
            </w:r>
            <w:r w:rsidR="0085752A">
              <w:rPr>
                <w:rFonts w:hint="eastAsia"/>
                <w:color w:val="000000"/>
                <w:kern w:val="0"/>
                <w:sz w:val="18"/>
                <w:szCs w:val="18"/>
              </w:rPr>
              <w:t xml:space="preserve">  </w:t>
            </w:r>
            <w:r>
              <w:rPr>
                <w:color w:val="000000"/>
                <w:kern w:val="0"/>
                <w:sz w:val="18"/>
                <w:szCs w:val="18"/>
              </w:rPr>
              <w:t>人才</w:t>
            </w:r>
          </w:p>
        </w:tc>
        <w:tc>
          <w:tcPr>
            <w:tcW w:w="483" w:type="pct"/>
            <w:tcBorders>
              <w:top w:val="single" w:sz="4" w:space="0" w:color="auto"/>
              <w:left w:val="nil"/>
              <w:bottom w:val="single" w:sz="4" w:space="0" w:color="auto"/>
              <w:right w:val="single" w:sz="4" w:space="0" w:color="auto"/>
            </w:tcBorders>
            <w:vAlign w:val="center"/>
          </w:tcPr>
          <w:p w14:paraId="0F96A69E" w14:textId="77777777" w:rsidR="00260726" w:rsidRDefault="00E936D8">
            <w:pPr>
              <w:widowControl/>
              <w:adjustRightInd w:val="0"/>
              <w:snapToGrid w:val="0"/>
              <w:jc w:val="center"/>
              <w:rPr>
                <w:color w:val="000000"/>
                <w:kern w:val="0"/>
                <w:sz w:val="18"/>
                <w:szCs w:val="18"/>
              </w:rPr>
            </w:pPr>
            <w:r>
              <w:rPr>
                <w:color w:val="000000"/>
                <w:kern w:val="0"/>
                <w:sz w:val="18"/>
                <w:szCs w:val="18"/>
              </w:rPr>
              <w:t>新型学徒制培训人数</w:t>
            </w:r>
          </w:p>
        </w:tc>
        <w:tc>
          <w:tcPr>
            <w:tcW w:w="288" w:type="pct"/>
            <w:tcBorders>
              <w:top w:val="single" w:sz="4" w:space="0" w:color="auto"/>
              <w:left w:val="nil"/>
              <w:bottom w:val="single" w:sz="4" w:space="0" w:color="auto"/>
              <w:right w:val="single" w:sz="4" w:space="0" w:color="auto"/>
            </w:tcBorders>
            <w:vAlign w:val="center"/>
          </w:tcPr>
          <w:p w14:paraId="26C2B7C0"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1000</w:t>
            </w:r>
            <w:r>
              <w:rPr>
                <w:color w:val="000000"/>
                <w:kern w:val="0"/>
                <w:sz w:val="18"/>
                <w:szCs w:val="18"/>
              </w:rPr>
              <w:t>人</w:t>
            </w:r>
          </w:p>
        </w:tc>
        <w:tc>
          <w:tcPr>
            <w:tcW w:w="192" w:type="pct"/>
            <w:tcBorders>
              <w:top w:val="single" w:sz="4" w:space="0" w:color="auto"/>
              <w:left w:val="nil"/>
              <w:bottom w:val="single" w:sz="4" w:space="0" w:color="auto"/>
              <w:right w:val="single" w:sz="4" w:space="0" w:color="auto"/>
            </w:tcBorders>
            <w:noWrap/>
            <w:vAlign w:val="center"/>
          </w:tcPr>
          <w:p w14:paraId="31A65C44"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nil"/>
              <w:bottom w:val="single" w:sz="4" w:space="0" w:color="auto"/>
              <w:right w:val="single" w:sz="4" w:space="0" w:color="auto"/>
            </w:tcBorders>
            <w:vAlign w:val="center"/>
          </w:tcPr>
          <w:p w14:paraId="66FBC41A" w14:textId="77777777" w:rsidR="00260726" w:rsidRDefault="00E936D8">
            <w:pPr>
              <w:adjustRightInd w:val="0"/>
              <w:snapToGrid w:val="0"/>
              <w:rPr>
                <w:color w:val="000000"/>
                <w:sz w:val="18"/>
                <w:szCs w:val="18"/>
              </w:rPr>
            </w:pPr>
            <w:r>
              <w:rPr>
                <w:color w:val="000000"/>
                <w:sz w:val="18"/>
                <w:szCs w:val="18"/>
              </w:rPr>
              <w:t>新型学徒制培训人数：通过校企合作、工学交替方式，组织企业技能岗位新招用和转岗等人员参加企业新型学徒培训的人数。根据目标完成率评分。目标完成率＜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nil"/>
              <w:bottom w:val="single" w:sz="4" w:space="0" w:color="auto"/>
              <w:right w:val="single" w:sz="4" w:space="0" w:color="auto"/>
            </w:tcBorders>
            <w:vAlign w:val="center"/>
          </w:tcPr>
          <w:p w14:paraId="226BA486"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2082</w:t>
            </w:r>
            <w:r>
              <w:rPr>
                <w:color w:val="000000"/>
                <w:kern w:val="0"/>
                <w:sz w:val="18"/>
                <w:szCs w:val="18"/>
              </w:rPr>
              <w:t>人。</w:t>
            </w:r>
          </w:p>
        </w:tc>
        <w:tc>
          <w:tcPr>
            <w:tcW w:w="239" w:type="pct"/>
            <w:tcBorders>
              <w:top w:val="single" w:sz="4" w:space="0" w:color="auto"/>
              <w:left w:val="nil"/>
              <w:bottom w:val="single" w:sz="4" w:space="0" w:color="auto"/>
              <w:right w:val="single" w:sz="4" w:space="0" w:color="auto"/>
            </w:tcBorders>
            <w:noWrap/>
            <w:vAlign w:val="center"/>
          </w:tcPr>
          <w:p w14:paraId="64968F4C"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4D952689" w14:textId="77777777">
        <w:trPr>
          <w:trHeight w:val="937"/>
        </w:trPr>
        <w:tc>
          <w:tcPr>
            <w:tcW w:w="267" w:type="pct"/>
            <w:vMerge/>
            <w:tcBorders>
              <w:top w:val="single" w:sz="4" w:space="0" w:color="auto"/>
              <w:left w:val="single" w:sz="4" w:space="0" w:color="auto"/>
              <w:bottom w:val="single" w:sz="4" w:space="0" w:color="auto"/>
              <w:right w:val="single" w:sz="4" w:space="0" w:color="auto"/>
            </w:tcBorders>
            <w:vAlign w:val="center"/>
          </w:tcPr>
          <w:p w14:paraId="502AF665"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4D1FD02D"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3E43B5A2"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新增市级以上人力资源服务骨干企业数</w:t>
            </w:r>
          </w:p>
        </w:tc>
        <w:tc>
          <w:tcPr>
            <w:tcW w:w="288" w:type="pct"/>
            <w:tcBorders>
              <w:top w:val="single" w:sz="4" w:space="0" w:color="auto"/>
              <w:left w:val="nil"/>
              <w:bottom w:val="single" w:sz="4" w:space="0" w:color="auto"/>
              <w:right w:val="single" w:sz="4" w:space="0" w:color="auto"/>
            </w:tcBorders>
            <w:vAlign w:val="center"/>
          </w:tcPr>
          <w:p w14:paraId="6AEE90B6"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12</w:t>
            </w:r>
          </w:p>
        </w:tc>
        <w:tc>
          <w:tcPr>
            <w:tcW w:w="192" w:type="pct"/>
            <w:tcBorders>
              <w:top w:val="single" w:sz="4" w:space="0" w:color="auto"/>
              <w:left w:val="nil"/>
              <w:bottom w:val="single" w:sz="4" w:space="0" w:color="auto"/>
              <w:right w:val="single" w:sz="4" w:space="0" w:color="auto"/>
            </w:tcBorders>
            <w:noWrap/>
            <w:vAlign w:val="center"/>
          </w:tcPr>
          <w:p w14:paraId="1522ECB3"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nil"/>
              <w:bottom w:val="single" w:sz="4" w:space="0" w:color="auto"/>
              <w:right w:val="single" w:sz="4" w:space="0" w:color="auto"/>
            </w:tcBorders>
            <w:vAlign w:val="center"/>
          </w:tcPr>
          <w:p w14:paraId="711DA1CB" w14:textId="77777777" w:rsidR="00260726" w:rsidRDefault="00E936D8">
            <w:pPr>
              <w:adjustRightInd w:val="0"/>
              <w:snapToGrid w:val="0"/>
              <w:rPr>
                <w:color w:val="000000"/>
                <w:sz w:val="18"/>
                <w:szCs w:val="18"/>
              </w:rPr>
            </w:pPr>
            <w:r>
              <w:rPr>
                <w:color w:val="000000"/>
                <w:sz w:val="18"/>
                <w:szCs w:val="18"/>
              </w:rPr>
              <w:t>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nil"/>
              <w:bottom w:val="single" w:sz="4" w:space="0" w:color="auto"/>
              <w:right w:val="single" w:sz="4" w:space="0" w:color="auto"/>
            </w:tcBorders>
            <w:vAlign w:val="center"/>
          </w:tcPr>
          <w:p w14:paraId="19C6CD0E"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12</w:t>
            </w:r>
            <w:r>
              <w:rPr>
                <w:rFonts w:hint="eastAsia"/>
                <w:color w:val="000000"/>
                <w:kern w:val="0"/>
                <w:sz w:val="18"/>
                <w:szCs w:val="18"/>
              </w:rPr>
              <w:t>家</w:t>
            </w:r>
            <w:r>
              <w:rPr>
                <w:color w:val="000000"/>
                <w:kern w:val="0"/>
                <w:sz w:val="18"/>
                <w:szCs w:val="18"/>
              </w:rPr>
              <w:t>。</w:t>
            </w:r>
          </w:p>
        </w:tc>
        <w:tc>
          <w:tcPr>
            <w:tcW w:w="239" w:type="pct"/>
            <w:tcBorders>
              <w:top w:val="single" w:sz="4" w:space="0" w:color="auto"/>
              <w:left w:val="nil"/>
              <w:bottom w:val="single" w:sz="4" w:space="0" w:color="auto"/>
              <w:right w:val="single" w:sz="4" w:space="0" w:color="auto"/>
            </w:tcBorders>
            <w:noWrap/>
            <w:vAlign w:val="center"/>
          </w:tcPr>
          <w:p w14:paraId="26CACAAD"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29FCCE39" w14:textId="77777777">
        <w:trPr>
          <w:trHeight w:val="937"/>
        </w:trPr>
        <w:tc>
          <w:tcPr>
            <w:tcW w:w="267" w:type="pct"/>
            <w:vMerge/>
            <w:tcBorders>
              <w:top w:val="single" w:sz="4" w:space="0" w:color="auto"/>
              <w:left w:val="single" w:sz="4" w:space="0" w:color="auto"/>
              <w:bottom w:val="single" w:sz="4" w:space="0" w:color="auto"/>
              <w:right w:val="single" w:sz="4" w:space="0" w:color="auto"/>
            </w:tcBorders>
            <w:vAlign w:val="center"/>
          </w:tcPr>
          <w:p w14:paraId="5F70B942"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01C977CD"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63250848" w14:textId="77777777" w:rsidR="00260726" w:rsidRDefault="00E936D8">
            <w:pPr>
              <w:widowControl/>
              <w:adjustRightInd w:val="0"/>
              <w:snapToGrid w:val="0"/>
              <w:jc w:val="center"/>
              <w:rPr>
                <w:color w:val="000000"/>
                <w:kern w:val="0"/>
                <w:sz w:val="18"/>
                <w:szCs w:val="18"/>
              </w:rPr>
            </w:pPr>
            <w:r>
              <w:rPr>
                <w:color w:val="000000"/>
                <w:kern w:val="0"/>
                <w:sz w:val="18"/>
                <w:szCs w:val="18"/>
              </w:rPr>
              <w:t>累计留学回国</w:t>
            </w:r>
            <w:r>
              <w:rPr>
                <w:rFonts w:hint="eastAsia"/>
                <w:color w:val="000000"/>
                <w:kern w:val="0"/>
                <w:sz w:val="18"/>
                <w:szCs w:val="18"/>
              </w:rPr>
              <w:t>人员创新创业</w:t>
            </w:r>
            <w:r>
              <w:rPr>
                <w:color w:val="000000"/>
                <w:kern w:val="0"/>
                <w:sz w:val="18"/>
                <w:szCs w:val="18"/>
              </w:rPr>
              <w:t>人数</w:t>
            </w:r>
          </w:p>
        </w:tc>
        <w:tc>
          <w:tcPr>
            <w:tcW w:w="288" w:type="pct"/>
            <w:tcBorders>
              <w:top w:val="single" w:sz="4" w:space="0" w:color="auto"/>
              <w:left w:val="single" w:sz="4" w:space="0" w:color="auto"/>
              <w:bottom w:val="single" w:sz="4" w:space="0" w:color="auto"/>
              <w:right w:val="single" w:sz="4" w:space="0" w:color="auto"/>
            </w:tcBorders>
            <w:vAlign w:val="center"/>
          </w:tcPr>
          <w:p w14:paraId="584F4658"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7.3</w:t>
            </w:r>
            <w:r>
              <w:rPr>
                <w:color w:val="000000"/>
                <w:kern w:val="0"/>
                <w:sz w:val="18"/>
                <w:szCs w:val="18"/>
              </w:rPr>
              <w:t>万人</w:t>
            </w:r>
          </w:p>
        </w:tc>
        <w:tc>
          <w:tcPr>
            <w:tcW w:w="192" w:type="pct"/>
            <w:tcBorders>
              <w:top w:val="single" w:sz="4" w:space="0" w:color="auto"/>
              <w:left w:val="single" w:sz="4" w:space="0" w:color="auto"/>
              <w:bottom w:val="single" w:sz="4" w:space="0" w:color="auto"/>
              <w:right w:val="single" w:sz="4" w:space="0" w:color="auto"/>
            </w:tcBorders>
            <w:noWrap/>
            <w:vAlign w:val="center"/>
          </w:tcPr>
          <w:p w14:paraId="6901A857"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62C4261E" w14:textId="77777777" w:rsidR="00260726" w:rsidRDefault="00E936D8">
            <w:pPr>
              <w:adjustRightInd w:val="0"/>
              <w:snapToGrid w:val="0"/>
              <w:rPr>
                <w:color w:val="000000"/>
                <w:sz w:val="18"/>
                <w:szCs w:val="18"/>
              </w:rPr>
            </w:pPr>
            <w:r>
              <w:rPr>
                <w:color w:val="000000"/>
                <w:sz w:val="18"/>
                <w:szCs w:val="18"/>
              </w:rPr>
              <w:t>累计留学回国人数</w:t>
            </w:r>
            <w:r>
              <w:rPr>
                <w:color w:val="000000"/>
                <w:sz w:val="18"/>
                <w:szCs w:val="18"/>
              </w:rPr>
              <w:t>:</w:t>
            </w:r>
            <w:r>
              <w:rPr>
                <w:color w:val="000000"/>
                <w:sz w:val="18"/>
                <w:szCs w:val="18"/>
              </w:rPr>
              <w:t>从海外回国（大陆、内地）工作或创业的留学人员总数。根据目标完成率评分。目标完成率＜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single" w:sz="4" w:space="0" w:color="auto"/>
              <w:bottom w:val="single" w:sz="4" w:space="0" w:color="auto"/>
              <w:right w:val="single" w:sz="4" w:space="0" w:color="auto"/>
            </w:tcBorders>
            <w:vAlign w:val="center"/>
          </w:tcPr>
          <w:p w14:paraId="7AE53785"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7.31</w:t>
            </w:r>
            <w:r>
              <w:rPr>
                <w:color w:val="000000"/>
                <w:kern w:val="0"/>
                <w:sz w:val="18"/>
                <w:szCs w:val="18"/>
              </w:rPr>
              <w:t>万人。</w:t>
            </w:r>
          </w:p>
        </w:tc>
        <w:tc>
          <w:tcPr>
            <w:tcW w:w="239" w:type="pct"/>
            <w:tcBorders>
              <w:top w:val="single" w:sz="4" w:space="0" w:color="auto"/>
              <w:left w:val="single" w:sz="4" w:space="0" w:color="auto"/>
              <w:bottom w:val="single" w:sz="4" w:space="0" w:color="auto"/>
              <w:right w:val="single" w:sz="4" w:space="0" w:color="auto"/>
            </w:tcBorders>
            <w:noWrap/>
            <w:vAlign w:val="center"/>
          </w:tcPr>
          <w:p w14:paraId="757FE3B3"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1B54BBD3" w14:textId="77777777">
        <w:trPr>
          <w:trHeight w:val="937"/>
        </w:trPr>
        <w:tc>
          <w:tcPr>
            <w:tcW w:w="267" w:type="pct"/>
            <w:vMerge/>
            <w:tcBorders>
              <w:top w:val="single" w:sz="4" w:space="0" w:color="auto"/>
              <w:left w:val="single" w:sz="4" w:space="0" w:color="auto"/>
              <w:bottom w:val="single" w:sz="4" w:space="0" w:color="auto"/>
              <w:right w:val="single" w:sz="4" w:space="0" w:color="auto"/>
            </w:tcBorders>
            <w:vAlign w:val="center"/>
          </w:tcPr>
          <w:p w14:paraId="3374AACB"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5F058B80"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387EB84B" w14:textId="77777777" w:rsidR="00260726" w:rsidRDefault="00E936D8">
            <w:pPr>
              <w:widowControl/>
              <w:adjustRightInd w:val="0"/>
              <w:snapToGrid w:val="0"/>
              <w:jc w:val="center"/>
              <w:rPr>
                <w:color w:val="000000"/>
                <w:kern w:val="0"/>
                <w:sz w:val="18"/>
                <w:szCs w:val="18"/>
              </w:rPr>
            </w:pPr>
            <w:r>
              <w:rPr>
                <w:color w:val="000000"/>
                <w:kern w:val="0"/>
                <w:sz w:val="18"/>
                <w:szCs w:val="18"/>
              </w:rPr>
              <w:t>新</w:t>
            </w:r>
            <w:r>
              <w:rPr>
                <w:rFonts w:hint="eastAsia"/>
                <w:color w:val="000000"/>
                <w:kern w:val="0"/>
                <w:sz w:val="18"/>
                <w:szCs w:val="18"/>
              </w:rPr>
              <w:t>增进站博士后人</w:t>
            </w:r>
            <w:r>
              <w:rPr>
                <w:color w:val="000000"/>
                <w:kern w:val="0"/>
                <w:sz w:val="18"/>
                <w:szCs w:val="18"/>
              </w:rPr>
              <w:t>数</w:t>
            </w:r>
          </w:p>
        </w:tc>
        <w:tc>
          <w:tcPr>
            <w:tcW w:w="288" w:type="pct"/>
            <w:tcBorders>
              <w:top w:val="single" w:sz="4" w:space="0" w:color="auto"/>
              <w:left w:val="single" w:sz="4" w:space="0" w:color="auto"/>
              <w:bottom w:val="single" w:sz="4" w:space="0" w:color="auto"/>
              <w:right w:val="single" w:sz="4" w:space="0" w:color="auto"/>
            </w:tcBorders>
            <w:vAlign w:val="center"/>
          </w:tcPr>
          <w:p w14:paraId="0EA4C136"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70</w:t>
            </w:r>
            <w:r>
              <w:rPr>
                <w:color w:val="000000"/>
                <w:kern w:val="0"/>
                <w:sz w:val="18"/>
                <w:szCs w:val="18"/>
              </w:rPr>
              <w:t>人</w:t>
            </w:r>
          </w:p>
        </w:tc>
        <w:tc>
          <w:tcPr>
            <w:tcW w:w="192" w:type="pct"/>
            <w:tcBorders>
              <w:top w:val="single" w:sz="4" w:space="0" w:color="auto"/>
              <w:left w:val="single" w:sz="4" w:space="0" w:color="auto"/>
              <w:bottom w:val="single" w:sz="4" w:space="0" w:color="auto"/>
              <w:right w:val="single" w:sz="4" w:space="0" w:color="auto"/>
            </w:tcBorders>
            <w:noWrap/>
            <w:vAlign w:val="center"/>
          </w:tcPr>
          <w:p w14:paraId="39C0D4BC"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single" w:sz="4" w:space="0" w:color="auto"/>
              <w:bottom w:val="single" w:sz="4" w:space="0" w:color="auto"/>
              <w:right w:val="single" w:sz="4" w:space="0" w:color="auto"/>
            </w:tcBorders>
            <w:vAlign w:val="center"/>
          </w:tcPr>
          <w:p w14:paraId="04B174B8" w14:textId="77777777" w:rsidR="00260726" w:rsidRDefault="00E936D8">
            <w:pPr>
              <w:adjustRightInd w:val="0"/>
              <w:snapToGrid w:val="0"/>
              <w:rPr>
                <w:color w:val="000000"/>
                <w:sz w:val="18"/>
                <w:szCs w:val="18"/>
              </w:rPr>
            </w:pPr>
            <w:r>
              <w:rPr>
                <w:color w:val="000000"/>
                <w:sz w:val="18"/>
                <w:szCs w:val="18"/>
              </w:rPr>
              <w:t>新招收博士后人数：进入博士后科研工作站、流动站以及省博士后创新实践基地工作的博士后人数之和。根据目标完成率评分。目标完成率＜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single" w:sz="4" w:space="0" w:color="auto"/>
              <w:bottom w:val="single" w:sz="4" w:space="0" w:color="auto"/>
              <w:right w:val="single" w:sz="4" w:space="0" w:color="auto"/>
            </w:tcBorders>
            <w:vAlign w:val="center"/>
          </w:tcPr>
          <w:p w14:paraId="74C2636D"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445</w:t>
            </w:r>
            <w:r>
              <w:rPr>
                <w:color w:val="000000"/>
                <w:kern w:val="0"/>
                <w:sz w:val="18"/>
                <w:szCs w:val="18"/>
              </w:rPr>
              <w:t>人。</w:t>
            </w:r>
          </w:p>
        </w:tc>
        <w:tc>
          <w:tcPr>
            <w:tcW w:w="239" w:type="pct"/>
            <w:tcBorders>
              <w:top w:val="single" w:sz="4" w:space="0" w:color="auto"/>
              <w:left w:val="single" w:sz="4" w:space="0" w:color="auto"/>
              <w:bottom w:val="single" w:sz="4" w:space="0" w:color="auto"/>
              <w:right w:val="single" w:sz="4" w:space="0" w:color="auto"/>
            </w:tcBorders>
            <w:noWrap/>
            <w:vAlign w:val="center"/>
          </w:tcPr>
          <w:p w14:paraId="58C5CAFB"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1674009F" w14:textId="77777777">
        <w:trPr>
          <w:trHeight w:val="1067"/>
        </w:trPr>
        <w:tc>
          <w:tcPr>
            <w:tcW w:w="267" w:type="pct"/>
            <w:vMerge/>
            <w:tcBorders>
              <w:top w:val="single" w:sz="4" w:space="0" w:color="auto"/>
              <w:left w:val="single" w:sz="4" w:space="0" w:color="auto"/>
              <w:bottom w:val="single" w:sz="4" w:space="0" w:color="auto"/>
              <w:right w:val="single" w:sz="4" w:space="0" w:color="auto"/>
            </w:tcBorders>
            <w:vAlign w:val="center"/>
          </w:tcPr>
          <w:p w14:paraId="4637E1D4"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5031D7D0" w14:textId="236C8A53" w:rsidR="00260726" w:rsidRDefault="00E936D8">
            <w:pPr>
              <w:widowControl/>
              <w:adjustRightInd w:val="0"/>
              <w:snapToGrid w:val="0"/>
              <w:jc w:val="center"/>
              <w:rPr>
                <w:color w:val="000000"/>
                <w:kern w:val="0"/>
                <w:sz w:val="18"/>
                <w:szCs w:val="18"/>
              </w:rPr>
            </w:pPr>
            <w:r>
              <w:rPr>
                <w:color w:val="000000"/>
                <w:kern w:val="0"/>
                <w:sz w:val="18"/>
                <w:szCs w:val="18"/>
              </w:rPr>
              <w:t>社会</w:t>
            </w:r>
            <w:r w:rsidR="0085752A">
              <w:rPr>
                <w:rFonts w:hint="eastAsia"/>
                <w:color w:val="000000"/>
                <w:kern w:val="0"/>
                <w:sz w:val="18"/>
                <w:szCs w:val="18"/>
              </w:rPr>
              <w:t xml:space="preserve">  </w:t>
            </w:r>
            <w:r>
              <w:rPr>
                <w:color w:val="000000"/>
                <w:kern w:val="0"/>
                <w:sz w:val="18"/>
                <w:szCs w:val="18"/>
              </w:rPr>
              <w:t>保障</w:t>
            </w:r>
          </w:p>
        </w:tc>
        <w:tc>
          <w:tcPr>
            <w:tcW w:w="483" w:type="pct"/>
            <w:tcBorders>
              <w:top w:val="single" w:sz="4" w:space="0" w:color="auto"/>
              <w:left w:val="nil"/>
              <w:bottom w:val="single" w:sz="4" w:space="0" w:color="auto"/>
              <w:right w:val="single" w:sz="4" w:space="0" w:color="auto"/>
            </w:tcBorders>
            <w:vAlign w:val="center"/>
          </w:tcPr>
          <w:p w14:paraId="311EB0C7" w14:textId="77777777" w:rsidR="00260726" w:rsidRDefault="00E936D8">
            <w:pPr>
              <w:widowControl/>
              <w:adjustRightInd w:val="0"/>
              <w:snapToGrid w:val="0"/>
              <w:jc w:val="center"/>
              <w:rPr>
                <w:color w:val="000000"/>
                <w:kern w:val="0"/>
                <w:sz w:val="18"/>
                <w:szCs w:val="18"/>
              </w:rPr>
            </w:pPr>
            <w:r>
              <w:rPr>
                <w:color w:val="000000"/>
                <w:kern w:val="0"/>
                <w:sz w:val="18"/>
                <w:szCs w:val="18"/>
              </w:rPr>
              <w:t>企业职工基本养老保险在职参保人数</w:t>
            </w:r>
          </w:p>
        </w:tc>
        <w:tc>
          <w:tcPr>
            <w:tcW w:w="288" w:type="pct"/>
            <w:tcBorders>
              <w:top w:val="single" w:sz="4" w:space="0" w:color="auto"/>
              <w:left w:val="nil"/>
              <w:bottom w:val="single" w:sz="4" w:space="0" w:color="auto"/>
              <w:right w:val="single" w:sz="4" w:space="0" w:color="auto"/>
            </w:tcBorders>
            <w:vAlign w:val="center"/>
          </w:tcPr>
          <w:p w14:paraId="4D582E57" w14:textId="77777777" w:rsidR="00260726" w:rsidRDefault="00E936D8">
            <w:pPr>
              <w:widowControl/>
              <w:adjustRightInd w:val="0"/>
              <w:snapToGrid w:val="0"/>
              <w:jc w:val="center"/>
              <w:rPr>
                <w:color w:val="000000"/>
                <w:kern w:val="0"/>
                <w:sz w:val="18"/>
                <w:szCs w:val="18"/>
              </w:rPr>
            </w:pPr>
            <w:r>
              <w:rPr>
                <w:color w:val="000000"/>
                <w:kern w:val="0"/>
                <w:sz w:val="18"/>
                <w:szCs w:val="18"/>
              </w:rPr>
              <w:t>3</w:t>
            </w:r>
            <w:r>
              <w:rPr>
                <w:rFonts w:hint="eastAsia"/>
                <w:color w:val="000000"/>
                <w:kern w:val="0"/>
                <w:sz w:val="18"/>
                <w:szCs w:val="18"/>
              </w:rPr>
              <w:t>76</w:t>
            </w:r>
            <w:r>
              <w:rPr>
                <w:color w:val="000000"/>
                <w:kern w:val="0"/>
                <w:sz w:val="18"/>
                <w:szCs w:val="18"/>
              </w:rPr>
              <w:t>万人</w:t>
            </w:r>
          </w:p>
        </w:tc>
        <w:tc>
          <w:tcPr>
            <w:tcW w:w="192" w:type="pct"/>
            <w:tcBorders>
              <w:top w:val="single" w:sz="4" w:space="0" w:color="auto"/>
              <w:left w:val="nil"/>
              <w:bottom w:val="single" w:sz="4" w:space="0" w:color="auto"/>
              <w:right w:val="single" w:sz="4" w:space="0" w:color="auto"/>
            </w:tcBorders>
            <w:noWrap/>
            <w:vAlign w:val="center"/>
          </w:tcPr>
          <w:p w14:paraId="0C90E972"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nil"/>
              <w:bottom w:val="single" w:sz="4" w:space="0" w:color="auto"/>
              <w:right w:val="single" w:sz="4" w:space="0" w:color="auto"/>
            </w:tcBorders>
            <w:vAlign w:val="center"/>
          </w:tcPr>
          <w:p w14:paraId="3BFB69C6" w14:textId="77777777" w:rsidR="00260726" w:rsidRDefault="00E936D8">
            <w:pPr>
              <w:adjustRightInd w:val="0"/>
              <w:snapToGrid w:val="0"/>
              <w:rPr>
                <w:color w:val="000000"/>
                <w:sz w:val="18"/>
                <w:szCs w:val="18"/>
              </w:rPr>
            </w:pPr>
            <w:r>
              <w:rPr>
                <w:color w:val="000000"/>
                <w:sz w:val="18"/>
                <w:szCs w:val="18"/>
              </w:rPr>
              <w:t>企业职工基本养老保险在职参保人数：按照法律法规和有关政策规定参加企业职工基本养老保险的单位职工人数和参保的个体户及灵活就业人员，包括规定期限内中断缴费但未终止保险关系的职工人数，不包括参保离退休人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nil"/>
              <w:bottom w:val="single" w:sz="4" w:space="0" w:color="auto"/>
              <w:right w:val="single" w:sz="4" w:space="0" w:color="auto"/>
            </w:tcBorders>
            <w:vAlign w:val="center"/>
          </w:tcPr>
          <w:p w14:paraId="0053BF7E"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376.06</w:t>
            </w:r>
            <w:r>
              <w:rPr>
                <w:color w:val="000000"/>
                <w:kern w:val="0"/>
                <w:sz w:val="18"/>
                <w:szCs w:val="18"/>
              </w:rPr>
              <w:t>万人。</w:t>
            </w:r>
          </w:p>
        </w:tc>
        <w:tc>
          <w:tcPr>
            <w:tcW w:w="239" w:type="pct"/>
            <w:tcBorders>
              <w:top w:val="single" w:sz="4" w:space="0" w:color="auto"/>
              <w:left w:val="nil"/>
              <w:bottom w:val="single" w:sz="4" w:space="0" w:color="auto"/>
              <w:right w:val="single" w:sz="4" w:space="0" w:color="auto"/>
            </w:tcBorders>
            <w:noWrap/>
            <w:vAlign w:val="center"/>
          </w:tcPr>
          <w:p w14:paraId="1AD30F15"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1CE0E32F" w14:textId="77777777">
        <w:trPr>
          <w:trHeight w:val="1132"/>
        </w:trPr>
        <w:tc>
          <w:tcPr>
            <w:tcW w:w="267" w:type="pct"/>
            <w:vMerge/>
            <w:tcBorders>
              <w:top w:val="single" w:sz="4" w:space="0" w:color="auto"/>
              <w:left w:val="single" w:sz="4" w:space="0" w:color="auto"/>
              <w:bottom w:val="single" w:sz="4" w:space="0" w:color="auto"/>
              <w:right w:val="single" w:sz="4" w:space="0" w:color="auto"/>
            </w:tcBorders>
            <w:vAlign w:val="center"/>
          </w:tcPr>
          <w:p w14:paraId="50DF748A"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4546D7C8"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3AD58610" w14:textId="77777777" w:rsidR="00260726" w:rsidRDefault="00E936D8">
            <w:pPr>
              <w:widowControl/>
              <w:adjustRightInd w:val="0"/>
              <w:snapToGrid w:val="0"/>
              <w:jc w:val="center"/>
              <w:rPr>
                <w:color w:val="000000"/>
                <w:kern w:val="0"/>
                <w:sz w:val="18"/>
                <w:szCs w:val="18"/>
              </w:rPr>
            </w:pPr>
            <w:r>
              <w:rPr>
                <w:color w:val="000000"/>
                <w:kern w:val="0"/>
                <w:sz w:val="18"/>
                <w:szCs w:val="18"/>
              </w:rPr>
              <w:t>城乡居民基本养老保险参保人数</w:t>
            </w:r>
          </w:p>
        </w:tc>
        <w:tc>
          <w:tcPr>
            <w:tcW w:w="288" w:type="pct"/>
            <w:tcBorders>
              <w:top w:val="nil"/>
              <w:left w:val="nil"/>
              <w:bottom w:val="single" w:sz="4" w:space="0" w:color="auto"/>
              <w:right w:val="single" w:sz="4" w:space="0" w:color="auto"/>
            </w:tcBorders>
            <w:vAlign w:val="center"/>
          </w:tcPr>
          <w:p w14:paraId="77F8A2CF"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44</w:t>
            </w:r>
            <w:r>
              <w:rPr>
                <w:color w:val="000000"/>
                <w:kern w:val="0"/>
                <w:sz w:val="18"/>
                <w:szCs w:val="18"/>
              </w:rPr>
              <w:t>万人</w:t>
            </w:r>
          </w:p>
        </w:tc>
        <w:tc>
          <w:tcPr>
            <w:tcW w:w="192" w:type="pct"/>
            <w:tcBorders>
              <w:top w:val="nil"/>
              <w:left w:val="nil"/>
              <w:bottom w:val="single" w:sz="4" w:space="0" w:color="auto"/>
              <w:right w:val="single" w:sz="4" w:space="0" w:color="auto"/>
            </w:tcBorders>
            <w:noWrap/>
            <w:vAlign w:val="center"/>
          </w:tcPr>
          <w:p w14:paraId="4B24FF9F"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6E1DCA5B" w14:textId="77777777" w:rsidR="00260726" w:rsidRDefault="00E936D8">
            <w:pPr>
              <w:adjustRightInd w:val="0"/>
              <w:snapToGrid w:val="0"/>
              <w:rPr>
                <w:color w:val="000000"/>
                <w:sz w:val="18"/>
                <w:szCs w:val="18"/>
              </w:rPr>
            </w:pPr>
            <w:r>
              <w:rPr>
                <w:color w:val="000000"/>
                <w:sz w:val="18"/>
                <w:szCs w:val="18"/>
              </w:rPr>
              <w:t>城乡居民基本养老保险参保人数：按照法律法规和有关政策规定参加城乡居民基本养老保险的人数，即在社会保险经办机构参保登记并建立缴费记录的人数，不包括领取待遇人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nil"/>
              <w:left w:val="nil"/>
              <w:bottom w:val="single" w:sz="4" w:space="0" w:color="auto"/>
              <w:right w:val="single" w:sz="4" w:space="0" w:color="auto"/>
            </w:tcBorders>
            <w:vAlign w:val="center"/>
          </w:tcPr>
          <w:p w14:paraId="24761CD2"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44.65</w:t>
            </w:r>
            <w:r>
              <w:rPr>
                <w:color w:val="000000"/>
                <w:kern w:val="0"/>
                <w:sz w:val="18"/>
                <w:szCs w:val="18"/>
              </w:rPr>
              <w:t>万人。</w:t>
            </w:r>
          </w:p>
        </w:tc>
        <w:tc>
          <w:tcPr>
            <w:tcW w:w="239" w:type="pct"/>
            <w:tcBorders>
              <w:top w:val="nil"/>
              <w:left w:val="nil"/>
              <w:bottom w:val="single" w:sz="4" w:space="0" w:color="auto"/>
              <w:right w:val="single" w:sz="4" w:space="0" w:color="auto"/>
            </w:tcBorders>
            <w:noWrap/>
            <w:vAlign w:val="center"/>
          </w:tcPr>
          <w:p w14:paraId="3D08D8A5"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5972F13E" w14:textId="77777777">
        <w:trPr>
          <w:trHeight w:val="967"/>
        </w:trPr>
        <w:tc>
          <w:tcPr>
            <w:tcW w:w="267" w:type="pct"/>
            <w:vMerge/>
            <w:tcBorders>
              <w:top w:val="single" w:sz="4" w:space="0" w:color="auto"/>
              <w:left w:val="single" w:sz="4" w:space="0" w:color="auto"/>
              <w:bottom w:val="single" w:sz="4" w:space="0" w:color="auto"/>
              <w:right w:val="single" w:sz="4" w:space="0" w:color="auto"/>
            </w:tcBorders>
            <w:vAlign w:val="center"/>
          </w:tcPr>
          <w:p w14:paraId="4A42CBD4"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2C8AF8BD"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3F798CB1" w14:textId="77777777" w:rsidR="00260726" w:rsidRDefault="00E936D8">
            <w:pPr>
              <w:widowControl/>
              <w:adjustRightInd w:val="0"/>
              <w:snapToGrid w:val="0"/>
              <w:jc w:val="center"/>
              <w:rPr>
                <w:color w:val="000000"/>
                <w:kern w:val="0"/>
                <w:sz w:val="18"/>
                <w:szCs w:val="18"/>
              </w:rPr>
            </w:pPr>
            <w:r>
              <w:rPr>
                <w:color w:val="000000"/>
                <w:kern w:val="0"/>
                <w:sz w:val="18"/>
                <w:szCs w:val="18"/>
              </w:rPr>
              <w:t>失业保险参保人数</w:t>
            </w:r>
          </w:p>
        </w:tc>
        <w:tc>
          <w:tcPr>
            <w:tcW w:w="288" w:type="pct"/>
            <w:tcBorders>
              <w:top w:val="nil"/>
              <w:left w:val="nil"/>
              <w:bottom w:val="single" w:sz="4" w:space="0" w:color="auto"/>
              <w:right w:val="single" w:sz="4" w:space="0" w:color="auto"/>
            </w:tcBorders>
            <w:vAlign w:val="center"/>
          </w:tcPr>
          <w:p w14:paraId="6BBE4875"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350.5</w:t>
            </w:r>
            <w:r>
              <w:rPr>
                <w:color w:val="000000"/>
                <w:kern w:val="0"/>
                <w:sz w:val="18"/>
                <w:szCs w:val="18"/>
              </w:rPr>
              <w:t>万人</w:t>
            </w:r>
          </w:p>
        </w:tc>
        <w:tc>
          <w:tcPr>
            <w:tcW w:w="192" w:type="pct"/>
            <w:tcBorders>
              <w:top w:val="nil"/>
              <w:left w:val="nil"/>
              <w:bottom w:val="single" w:sz="4" w:space="0" w:color="auto"/>
              <w:right w:val="single" w:sz="4" w:space="0" w:color="auto"/>
            </w:tcBorders>
            <w:noWrap/>
            <w:vAlign w:val="center"/>
          </w:tcPr>
          <w:p w14:paraId="5E52C759"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nil"/>
              <w:left w:val="nil"/>
              <w:bottom w:val="single" w:sz="4" w:space="0" w:color="auto"/>
              <w:right w:val="single" w:sz="4" w:space="0" w:color="auto"/>
            </w:tcBorders>
            <w:vAlign w:val="center"/>
          </w:tcPr>
          <w:p w14:paraId="750ADF38" w14:textId="77777777" w:rsidR="00260726" w:rsidRDefault="00E936D8">
            <w:pPr>
              <w:adjustRightInd w:val="0"/>
              <w:snapToGrid w:val="0"/>
              <w:rPr>
                <w:color w:val="000000"/>
                <w:sz w:val="18"/>
                <w:szCs w:val="18"/>
              </w:rPr>
            </w:pPr>
            <w:r>
              <w:rPr>
                <w:color w:val="000000"/>
                <w:sz w:val="18"/>
                <w:szCs w:val="18"/>
              </w:rPr>
              <w:t>失业保险参保人数：按照法律法规参加失业保险的城镇企业、事业单位职工人数及按地方规定参加失业保险的其他人员数之和。根据目标完成率评分。目标完成率＜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nil"/>
              <w:left w:val="nil"/>
              <w:bottom w:val="single" w:sz="4" w:space="0" w:color="auto"/>
              <w:right w:val="single" w:sz="4" w:space="0" w:color="auto"/>
            </w:tcBorders>
            <w:vAlign w:val="center"/>
          </w:tcPr>
          <w:p w14:paraId="57EEAB63"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350.6</w:t>
            </w:r>
            <w:r>
              <w:rPr>
                <w:color w:val="000000"/>
                <w:kern w:val="0"/>
                <w:sz w:val="18"/>
                <w:szCs w:val="18"/>
              </w:rPr>
              <w:t>万人。</w:t>
            </w:r>
          </w:p>
        </w:tc>
        <w:tc>
          <w:tcPr>
            <w:tcW w:w="239" w:type="pct"/>
            <w:tcBorders>
              <w:top w:val="nil"/>
              <w:left w:val="nil"/>
              <w:bottom w:val="single" w:sz="4" w:space="0" w:color="auto"/>
              <w:right w:val="single" w:sz="4" w:space="0" w:color="auto"/>
            </w:tcBorders>
            <w:noWrap/>
            <w:vAlign w:val="center"/>
          </w:tcPr>
          <w:p w14:paraId="176DEC53"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611B122D" w14:textId="77777777">
        <w:trPr>
          <w:trHeight w:val="1077"/>
        </w:trPr>
        <w:tc>
          <w:tcPr>
            <w:tcW w:w="267" w:type="pct"/>
            <w:vMerge/>
            <w:tcBorders>
              <w:top w:val="single" w:sz="4" w:space="0" w:color="auto"/>
              <w:left w:val="single" w:sz="4" w:space="0" w:color="auto"/>
              <w:bottom w:val="single" w:sz="4" w:space="0" w:color="auto"/>
              <w:right w:val="single" w:sz="4" w:space="0" w:color="auto"/>
            </w:tcBorders>
            <w:vAlign w:val="center"/>
          </w:tcPr>
          <w:p w14:paraId="79AB55CC"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0F0DB0D2"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29BD2076" w14:textId="77777777" w:rsidR="00260726" w:rsidRDefault="00E936D8">
            <w:pPr>
              <w:widowControl/>
              <w:adjustRightInd w:val="0"/>
              <w:snapToGrid w:val="0"/>
              <w:jc w:val="center"/>
              <w:rPr>
                <w:color w:val="000000"/>
                <w:kern w:val="0"/>
                <w:sz w:val="18"/>
                <w:szCs w:val="18"/>
              </w:rPr>
            </w:pPr>
            <w:r>
              <w:rPr>
                <w:color w:val="000000"/>
                <w:kern w:val="0"/>
                <w:sz w:val="18"/>
                <w:szCs w:val="18"/>
              </w:rPr>
              <w:t>工伤保险参保人数</w:t>
            </w:r>
          </w:p>
        </w:tc>
        <w:tc>
          <w:tcPr>
            <w:tcW w:w="288" w:type="pct"/>
            <w:tcBorders>
              <w:top w:val="single" w:sz="4" w:space="0" w:color="auto"/>
              <w:left w:val="nil"/>
              <w:bottom w:val="single" w:sz="4" w:space="0" w:color="auto"/>
              <w:right w:val="single" w:sz="4" w:space="0" w:color="auto"/>
            </w:tcBorders>
            <w:vAlign w:val="center"/>
          </w:tcPr>
          <w:p w14:paraId="23A0E189" w14:textId="77777777" w:rsidR="00260726" w:rsidRDefault="00E936D8">
            <w:pPr>
              <w:widowControl/>
              <w:adjustRightInd w:val="0"/>
              <w:snapToGrid w:val="0"/>
              <w:jc w:val="center"/>
              <w:rPr>
                <w:color w:val="000000"/>
                <w:kern w:val="0"/>
                <w:sz w:val="18"/>
                <w:szCs w:val="18"/>
              </w:rPr>
            </w:pPr>
            <w:r>
              <w:rPr>
                <w:color w:val="000000"/>
                <w:kern w:val="0"/>
                <w:sz w:val="18"/>
                <w:szCs w:val="18"/>
              </w:rPr>
              <w:t>3</w:t>
            </w:r>
            <w:r>
              <w:rPr>
                <w:rFonts w:hint="eastAsia"/>
                <w:color w:val="000000"/>
                <w:kern w:val="0"/>
                <w:sz w:val="18"/>
                <w:szCs w:val="18"/>
              </w:rPr>
              <w:t>92</w:t>
            </w:r>
            <w:r>
              <w:rPr>
                <w:color w:val="000000"/>
                <w:kern w:val="0"/>
                <w:sz w:val="18"/>
                <w:szCs w:val="18"/>
              </w:rPr>
              <w:t>万人</w:t>
            </w:r>
          </w:p>
        </w:tc>
        <w:tc>
          <w:tcPr>
            <w:tcW w:w="192" w:type="pct"/>
            <w:tcBorders>
              <w:top w:val="single" w:sz="4" w:space="0" w:color="auto"/>
              <w:left w:val="nil"/>
              <w:bottom w:val="single" w:sz="4" w:space="0" w:color="auto"/>
              <w:right w:val="single" w:sz="4" w:space="0" w:color="auto"/>
            </w:tcBorders>
            <w:noWrap/>
            <w:vAlign w:val="center"/>
          </w:tcPr>
          <w:p w14:paraId="59FAA5D1"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1E2BCBE6" w14:textId="77777777" w:rsidR="00260726" w:rsidRDefault="00E936D8">
            <w:pPr>
              <w:adjustRightInd w:val="0"/>
              <w:snapToGrid w:val="0"/>
              <w:rPr>
                <w:color w:val="000000"/>
                <w:sz w:val="18"/>
                <w:szCs w:val="18"/>
              </w:rPr>
            </w:pPr>
            <w:r>
              <w:rPr>
                <w:color w:val="000000"/>
                <w:sz w:val="18"/>
                <w:szCs w:val="18"/>
              </w:rPr>
              <w:t>工伤保险参保人数：按照法律法规参加工伤保险的职工人数和有雇工的个体工商户的雇工数。包含按照建设工程项目（住建、铁路、公路、水运、水利、能源、机场等行业）参加工伤保险的职工。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nil"/>
              <w:bottom w:val="single" w:sz="4" w:space="0" w:color="auto"/>
              <w:right w:val="single" w:sz="4" w:space="0" w:color="auto"/>
            </w:tcBorders>
            <w:vAlign w:val="center"/>
          </w:tcPr>
          <w:p w14:paraId="21926764"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392.46</w:t>
            </w:r>
            <w:r>
              <w:rPr>
                <w:color w:val="000000"/>
                <w:kern w:val="0"/>
                <w:sz w:val="18"/>
                <w:szCs w:val="18"/>
              </w:rPr>
              <w:t>万人。</w:t>
            </w:r>
          </w:p>
        </w:tc>
        <w:tc>
          <w:tcPr>
            <w:tcW w:w="239" w:type="pct"/>
            <w:tcBorders>
              <w:top w:val="single" w:sz="4" w:space="0" w:color="auto"/>
              <w:left w:val="nil"/>
              <w:bottom w:val="single" w:sz="4" w:space="0" w:color="auto"/>
              <w:right w:val="single" w:sz="4" w:space="0" w:color="auto"/>
            </w:tcBorders>
            <w:noWrap/>
            <w:vAlign w:val="center"/>
          </w:tcPr>
          <w:p w14:paraId="6462667E"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382B8CBE" w14:textId="77777777">
        <w:trPr>
          <w:trHeight w:val="920"/>
        </w:trPr>
        <w:tc>
          <w:tcPr>
            <w:tcW w:w="267" w:type="pct"/>
            <w:vMerge/>
            <w:tcBorders>
              <w:top w:val="single" w:sz="4" w:space="0" w:color="auto"/>
              <w:left w:val="single" w:sz="4" w:space="0" w:color="auto"/>
              <w:bottom w:val="single" w:sz="4" w:space="0" w:color="auto"/>
              <w:right w:val="single" w:sz="4" w:space="0" w:color="auto"/>
            </w:tcBorders>
            <w:vAlign w:val="center"/>
          </w:tcPr>
          <w:p w14:paraId="3FF3E726"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40181AF9"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09C35BAE" w14:textId="77777777" w:rsidR="00260726" w:rsidRDefault="00E936D8">
            <w:pPr>
              <w:widowControl/>
              <w:adjustRightInd w:val="0"/>
              <w:snapToGrid w:val="0"/>
              <w:jc w:val="center"/>
              <w:rPr>
                <w:color w:val="000000"/>
                <w:kern w:val="0"/>
                <w:sz w:val="18"/>
                <w:szCs w:val="18"/>
              </w:rPr>
            </w:pPr>
            <w:r>
              <w:rPr>
                <w:color w:val="000000"/>
                <w:kern w:val="0"/>
                <w:sz w:val="18"/>
                <w:szCs w:val="18"/>
              </w:rPr>
              <w:t>企业退休人员周期免费体检人数</w:t>
            </w:r>
          </w:p>
        </w:tc>
        <w:tc>
          <w:tcPr>
            <w:tcW w:w="288" w:type="pct"/>
            <w:tcBorders>
              <w:top w:val="single" w:sz="4" w:space="0" w:color="auto"/>
              <w:left w:val="nil"/>
              <w:bottom w:val="single" w:sz="4" w:space="0" w:color="auto"/>
              <w:right w:val="single" w:sz="4" w:space="0" w:color="auto"/>
            </w:tcBorders>
            <w:vAlign w:val="center"/>
          </w:tcPr>
          <w:p w14:paraId="17D32367"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35</w:t>
            </w:r>
            <w:r>
              <w:rPr>
                <w:color w:val="000000"/>
                <w:kern w:val="0"/>
                <w:sz w:val="18"/>
                <w:szCs w:val="18"/>
              </w:rPr>
              <w:t>万人</w:t>
            </w:r>
          </w:p>
        </w:tc>
        <w:tc>
          <w:tcPr>
            <w:tcW w:w="192" w:type="pct"/>
            <w:tcBorders>
              <w:top w:val="single" w:sz="4" w:space="0" w:color="auto"/>
              <w:left w:val="nil"/>
              <w:bottom w:val="single" w:sz="4" w:space="0" w:color="auto"/>
              <w:right w:val="single" w:sz="4" w:space="0" w:color="auto"/>
            </w:tcBorders>
            <w:noWrap/>
            <w:vAlign w:val="center"/>
          </w:tcPr>
          <w:p w14:paraId="4218708F"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c>
          <w:tcPr>
            <w:tcW w:w="2264" w:type="pct"/>
            <w:tcBorders>
              <w:top w:val="single" w:sz="4" w:space="0" w:color="auto"/>
              <w:left w:val="nil"/>
              <w:bottom w:val="single" w:sz="4" w:space="0" w:color="auto"/>
              <w:right w:val="single" w:sz="4" w:space="0" w:color="auto"/>
            </w:tcBorders>
            <w:vAlign w:val="center"/>
          </w:tcPr>
          <w:p w14:paraId="4CFEBE96" w14:textId="77777777" w:rsidR="00260726" w:rsidRDefault="00E936D8">
            <w:pPr>
              <w:adjustRightInd w:val="0"/>
              <w:snapToGrid w:val="0"/>
              <w:rPr>
                <w:color w:val="000000"/>
                <w:sz w:val="18"/>
                <w:szCs w:val="18"/>
              </w:rPr>
            </w:pPr>
            <w:r>
              <w:rPr>
                <w:color w:val="000000"/>
                <w:sz w:val="18"/>
                <w:szCs w:val="18"/>
              </w:rPr>
              <w:t>企业退休人员周期免费体检人数：当年参加我市退休人员免费健康体检的人数。根据目标完成率评分。目标完成率＜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nil"/>
              <w:bottom w:val="single" w:sz="4" w:space="0" w:color="auto"/>
              <w:right w:val="single" w:sz="4" w:space="0" w:color="auto"/>
            </w:tcBorders>
            <w:vAlign w:val="center"/>
          </w:tcPr>
          <w:p w14:paraId="234EE670"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41.17</w:t>
            </w:r>
            <w:r>
              <w:rPr>
                <w:color w:val="000000"/>
                <w:kern w:val="0"/>
                <w:sz w:val="18"/>
                <w:szCs w:val="18"/>
              </w:rPr>
              <w:t>万人。</w:t>
            </w:r>
          </w:p>
        </w:tc>
        <w:tc>
          <w:tcPr>
            <w:tcW w:w="239" w:type="pct"/>
            <w:tcBorders>
              <w:top w:val="single" w:sz="4" w:space="0" w:color="auto"/>
              <w:left w:val="nil"/>
              <w:bottom w:val="single" w:sz="4" w:space="0" w:color="auto"/>
              <w:right w:val="single" w:sz="4" w:space="0" w:color="auto"/>
            </w:tcBorders>
            <w:noWrap/>
            <w:vAlign w:val="center"/>
          </w:tcPr>
          <w:p w14:paraId="6A30807E" w14:textId="77777777" w:rsidR="00260726" w:rsidRDefault="00E936D8">
            <w:pPr>
              <w:widowControl/>
              <w:adjustRightInd w:val="0"/>
              <w:snapToGrid w:val="0"/>
              <w:jc w:val="center"/>
              <w:rPr>
                <w:color w:val="000000"/>
                <w:kern w:val="0"/>
                <w:sz w:val="18"/>
                <w:szCs w:val="18"/>
              </w:rPr>
            </w:pPr>
            <w:r>
              <w:rPr>
                <w:color w:val="000000"/>
                <w:kern w:val="0"/>
                <w:sz w:val="18"/>
                <w:szCs w:val="18"/>
              </w:rPr>
              <w:t>1</w:t>
            </w:r>
          </w:p>
        </w:tc>
      </w:tr>
      <w:tr w:rsidR="00260726" w14:paraId="684986CA" w14:textId="77777777">
        <w:trPr>
          <w:trHeight w:val="920"/>
        </w:trPr>
        <w:tc>
          <w:tcPr>
            <w:tcW w:w="267" w:type="pct"/>
            <w:vMerge/>
            <w:tcBorders>
              <w:top w:val="single" w:sz="4" w:space="0" w:color="auto"/>
              <w:left w:val="single" w:sz="4" w:space="0" w:color="auto"/>
              <w:bottom w:val="single" w:sz="4" w:space="0" w:color="auto"/>
              <w:right w:val="single" w:sz="4" w:space="0" w:color="auto"/>
            </w:tcBorders>
            <w:vAlign w:val="center"/>
          </w:tcPr>
          <w:p w14:paraId="0C4F3C80"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039E3657" w14:textId="0496AC3F" w:rsidR="00260726" w:rsidRDefault="00E936D8">
            <w:pPr>
              <w:widowControl/>
              <w:adjustRightInd w:val="0"/>
              <w:snapToGrid w:val="0"/>
              <w:jc w:val="center"/>
              <w:rPr>
                <w:color w:val="000000"/>
                <w:kern w:val="0"/>
                <w:sz w:val="18"/>
                <w:szCs w:val="18"/>
              </w:rPr>
            </w:pPr>
            <w:r>
              <w:rPr>
                <w:color w:val="000000"/>
                <w:kern w:val="0"/>
                <w:sz w:val="18"/>
                <w:szCs w:val="18"/>
              </w:rPr>
              <w:t>劳动</w:t>
            </w:r>
            <w:r w:rsidR="0085752A">
              <w:rPr>
                <w:rFonts w:hint="eastAsia"/>
                <w:color w:val="000000"/>
                <w:kern w:val="0"/>
                <w:sz w:val="18"/>
                <w:szCs w:val="18"/>
              </w:rPr>
              <w:t xml:space="preserve">  </w:t>
            </w:r>
            <w:r>
              <w:rPr>
                <w:color w:val="000000"/>
                <w:kern w:val="0"/>
                <w:sz w:val="18"/>
                <w:szCs w:val="18"/>
              </w:rPr>
              <w:t>关系</w:t>
            </w:r>
          </w:p>
        </w:tc>
        <w:tc>
          <w:tcPr>
            <w:tcW w:w="483" w:type="pct"/>
            <w:tcBorders>
              <w:top w:val="nil"/>
              <w:left w:val="nil"/>
              <w:bottom w:val="single" w:sz="4" w:space="0" w:color="auto"/>
              <w:right w:val="single" w:sz="4" w:space="0" w:color="auto"/>
            </w:tcBorders>
            <w:vAlign w:val="center"/>
          </w:tcPr>
          <w:p w14:paraId="1B02A74E" w14:textId="77777777" w:rsidR="00260726" w:rsidRDefault="00E936D8">
            <w:pPr>
              <w:widowControl/>
              <w:adjustRightInd w:val="0"/>
              <w:snapToGrid w:val="0"/>
              <w:jc w:val="center"/>
              <w:rPr>
                <w:color w:val="000000"/>
                <w:kern w:val="0"/>
                <w:sz w:val="18"/>
                <w:szCs w:val="18"/>
              </w:rPr>
            </w:pPr>
            <w:r>
              <w:rPr>
                <w:color w:val="000000"/>
                <w:kern w:val="0"/>
                <w:sz w:val="18"/>
                <w:szCs w:val="18"/>
              </w:rPr>
              <w:t>集体合同审查数</w:t>
            </w:r>
          </w:p>
        </w:tc>
        <w:tc>
          <w:tcPr>
            <w:tcW w:w="288" w:type="pct"/>
            <w:tcBorders>
              <w:top w:val="nil"/>
              <w:left w:val="nil"/>
              <w:bottom w:val="single" w:sz="4" w:space="0" w:color="auto"/>
              <w:right w:val="single" w:sz="4" w:space="0" w:color="auto"/>
            </w:tcBorders>
            <w:vAlign w:val="center"/>
          </w:tcPr>
          <w:p w14:paraId="485EA28C" w14:textId="77777777" w:rsidR="00260726" w:rsidRDefault="00E936D8">
            <w:pPr>
              <w:widowControl/>
              <w:adjustRightInd w:val="0"/>
              <w:snapToGrid w:val="0"/>
              <w:jc w:val="center"/>
              <w:rPr>
                <w:color w:val="000000"/>
                <w:kern w:val="0"/>
                <w:sz w:val="18"/>
                <w:szCs w:val="18"/>
              </w:rPr>
            </w:pPr>
            <w:r>
              <w:rPr>
                <w:color w:val="000000"/>
                <w:kern w:val="0"/>
                <w:sz w:val="18"/>
                <w:szCs w:val="18"/>
              </w:rPr>
              <w:t>11500</w:t>
            </w:r>
            <w:r>
              <w:rPr>
                <w:color w:val="000000"/>
                <w:kern w:val="0"/>
                <w:sz w:val="18"/>
                <w:szCs w:val="18"/>
              </w:rPr>
              <w:t>份</w:t>
            </w:r>
          </w:p>
        </w:tc>
        <w:tc>
          <w:tcPr>
            <w:tcW w:w="192" w:type="pct"/>
            <w:tcBorders>
              <w:top w:val="nil"/>
              <w:left w:val="nil"/>
              <w:bottom w:val="single" w:sz="4" w:space="0" w:color="auto"/>
              <w:right w:val="single" w:sz="4" w:space="0" w:color="auto"/>
            </w:tcBorders>
            <w:noWrap/>
            <w:vAlign w:val="center"/>
          </w:tcPr>
          <w:p w14:paraId="7ED24459"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nil"/>
              <w:left w:val="nil"/>
              <w:bottom w:val="single" w:sz="4" w:space="0" w:color="auto"/>
              <w:right w:val="single" w:sz="4" w:space="0" w:color="auto"/>
            </w:tcBorders>
            <w:vAlign w:val="center"/>
          </w:tcPr>
          <w:p w14:paraId="6EF43EBE" w14:textId="77777777" w:rsidR="00260726" w:rsidRDefault="00E936D8">
            <w:pPr>
              <w:adjustRightInd w:val="0"/>
              <w:snapToGrid w:val="0"/>
              <w:rPr>
                <w:color w:val="000000"/>
                <w:sz w:val="18"/>
                <w:szCs w:val="18"/>
              </w:rPr>
            </w:pPr>
            <w:r>
              <w:rPr>
                <w:color w:val="000000"/>
                <w:sz w:val="18"/>
                <w:szCs w:val="18"/>
              </w:rPr>
              <w:t>集体合同审查数：人力资源和社会保障部门对用人单位（含区域、行业）报送的集体合同进行合法性审查的数量。根据目标完成率评分。目标完成率＜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nil"/>
              <w:left w:val="nil"/>
              <w:bottom w:val="single" w:sz="4" w:space="0" w:color="auto"/>
              <w:right w:val="single" w:sz="4" w:space="0" w:color="auto"/>
            </w:tcBorders>
            <w:vAlign w:val="center"/>
          </w:tcPr>
          <w:p w14:paraId="36042EEE"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12437</w:t>
            </w:r>
            <w:r>
              <w:rPr>
                <w:color w:val="000000"/>
                <w:kern w:val="0"/>
                <w:sz w:val="18"/>
                <w:szCs w:val="18"/>
              </w:rPr>
              <w:t>份</w:t>
            </w:r>
          </w:p>
        </w:tc>
        <w:tc>
          <w:tcPr>
            <w:tcW w:w="239" w:type="pct"/>
            <w:tcBorders>
              <w:top w:val="nil"/>
              <w:left w:val="nil"/>
              <w:bottom w:val="single" w:sz="4" w:space="0" w:color="auto"/>
              <w:right w:val="single" w:sz="4" w:space="0" w:color="auto"/>
            </w:tcBorders>
            <w:noWrap/>
            <w:vAlign w:val="center"/>
          </w:tcPr>
          <w:p w14:paraId="10C8F369"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r>
      <w:tr w:rsidR="00260726" w14:paraId="38521D6F" w14:textId="77777777">
        <w:trPr>
          <w:trHeight w:val="920"/>
        </w:trPr>
        <w:tc>
          <w:tcPr>
            <w:tcW w:w="267" w:type="pct"/>
            <w:vMerge/>
            <w:tcBorders>
              <w:top w:val="single" w:sz="4" w:space="0" w:color="auto"/>
              <w:left w:val="single" w:sz="4" w:space="0" w:color="auto"/>
              <w:bottom w:val="single" w:sz="4" w:space="0" w:color="auto"/>
              <w:right w:val="single" w:sz="4" w:space="0" w:color="auto"/>
            </w:tcBorders>
            <w:vAlign w:val="center"/>
          </w:tcPr>
          <w:p w14:paraId="2C155078"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115D2010"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42F3654E" w14:textId="77777777" w:rsidR="00260726" w:rsidRDefault="00E936D8">
            <w:pPr>
              <w:widowControl/>
              <w:adjustRightInd w:val="0"/>
              <w:snapToGrid w:val="0"/>
              <w:jc w:val="center"/>
              <w:rPr>
                <w:color w:val="000000"/>
                <w:kern w:val="0"/>
                <w:sz w:val="18"/>
                <w:szCs w:val="18"/>
              </w:rPr>
            </w:pPr>
            <w:r>
              <w:rPr>
                <w:color w:val="000000"/>
                <w:kern w:val="0"/>
                <w:sz w:val="18"/>
                <w:szCs w:val="18"/>
              </w:rPr>
              <w:t>人均</w:t>
            </w:r>
            <w:r>
              <w:rPr>
                <w:color w:val="000000"/>
                <w:kern w:val="0"/>
                <w:sz w:val="18"/>
                <w:szCs w:val="18"/>
              </w:rPr>
              <w:t>“</w:t>
            </w:r>
            <w:r>
              <w:rPr>
                <w:color w:val="000000"/>
                <w:kern w:val="0"/>
                <w:sz w:val="18"/>
                <w:szCs w:val="18"/>
              </w:rPr>
              <w:t>双随机</w:t>
            </w:r>
            <w:r>
              <w:rPr>
                <w:color w:val="000000"/>
                <w:kern w:val="0"/>
                <w:sz w:val="18"/>
                <w:szCs w:val="18"/>
              </w:rPr>
              <w:t>”</w:t>
            </w:r>
            <w:r>
              <w:rPr>
                <w:color w:val="000000"/>
                <w:kern w:val="0"/>
                <w:sz w:val="18"/>
                <w:szCs w:val="18"/>
              </w:rPr>
              <w:t>执法检查用人单位数</w:t>
            </w:r>
          </w:p>
        </w:tc>
        <w:tc>
          <w:tcPr>
            <w:tcW w:w="288" w:type="pct"/>
            <w:tcBorders>
              <w:top w:val="single" w:sz="4" w:space="0" w:color="auto"/>
              <w:left w:val="single" w:sz="4" w:space="0" w:color="auto"/>
              <w:bottom w:val="single" w:sz="4" w:space="0" w:color="auto"/>
              <w:right w:val="single" w:sz="4" w:space="0" w:color="auto"/>
            </w:tcBorders>
            <w:vAlign w:val="center"/>
          </w:tcPr>
          <w:p w14:paraId="36FD331A" w14:textId="77777777" w:rsidR="00260726" w:rsidRDefault="00E936D8">
            <w:pPr>
              <w:widowControl/>
              <w:adjustRightInd w:val="0"/>
              <w:snapToGrid w:val="0"/>
              <w:jc w:val="center"/>
              <w:rPr>
                <w:color w:val="000000"/>
                <w:kern w:val="0"/>
                <w:sz w:val="18"/>
                <w:szCs w:val="18"/>
              </w:rPr>
            </w:pPr>
            <w:r>
              <w:rPr>
                <w:color w:val="000000"/>
                <w:kern w:val="0"/>
                <w:sz w:val="18"/>
                <w:szCs w:val="18"/>
              </w:rPr>
              <w:t>50</w:t>
            </w:r>
            <w:r>
              <w:rPr>
                <w:color w:val="000000"/>
                <w:kern w:val="0"/>
                <w:sz w:val="18"/>
                <w:szCs w:val="18"/>
              </w:rPr>
              <w:t>户</w:t>
            </w:r>
          </w:p>
        </w:tc>
        <w:tc>
          <w:tcPr>
            <w:tcW w:w="192" w:type="pct"/>
            <w:tcBorders>
              <w:top w:val="single" w:sz="4" w:space="0" w:color="auto"/>
              <w:left w:val="single" w:sz="4" w:space="0" w:color="auto"/>
              <w:bottom w:val="single" w:sz="4" w:space="0" w:color="auto"/>
              <w:right w:val="single" w:sz="4" w:space="0" w:color="auto"/>
            </w:tcBorders>
            <w:noWrap/>
            <w:vAlign w:val="center"/>
          </w:tcPr>
          <w:p w14:paraId="5F149185" w14:textId="77777777" w:rsidR="00260726" w:rsidRDefault="00E936D8">
            <w:pPr>
              <w:widowControl/>
              <w:adjustRightInd w:val="0"/>
              <w:snapToGrid w:val="0"/>
              <w:jc w:val="center"/>
              <w:rPr>
                <w:color w:val="000000"/>
                <w:kern w:val="0"/>
                <w:sz w:val="18"/>
                <w:szCs w:val="18"/>
              </w:rPr>
            </w:pPr>
            <w:r>
              <w:rPr>
                <w:color w:val="000000"/>
                <w:kern w:val="0"/>
                <w:sz w:val="18"/>
                <w:szCs w:val="18"/>
              </w:rPr>
              <w:t>2</w:t>
            </w:r>
          </w:p>
        </w:tc>
        <w:tc>
          <w:tcPr>
            <w:tcW w:w="2264" w:type="pct"/>
            <w:tcBorders>
              <w:top w:val="single" w:sz="4" w:space="0" w:color="auto"/>
              <w:left w:val="single" w:sz="4" w:space="0" w:color="auto"/>
              <w:bottom w:val="single" w:sz="4" w:space="0" w:color="auto"/>
              <w:right w:val="single" w:sz="4" w:space="0" w:color="auto"/>
            </w:tcBorders>
            <w:vAlign w:val="center"/>
          </w:tcPr>
          <w:p w14:paraId="3135173E" w14:textId="77777777" w:rsidR="00260726" w:rsidRDefault="00E936D8">
            <w:pPr>
              <w:adjustRightInd w:val="0"/>
              <w:snapToGrid w:val="0"/>
              <w:rPr>
                <w:color w:val="000000"/>
                <w:sz w:val="18"/>
                <w:szCs w:val="18"/>
              </w:rPr>
            </w:pPr>
            <w:r>
              <w:rPr>
                <w:color w:val="000000"/>
                <w:sz w:val="18"/>
                <w:szCs w:val="18"/>
              </w:rPr>
              <w:t>人均</w:t>
            </w:r>
            <w:r>
              <w:rPr>
                <w:color w:val="000000"/>
                <w:sz w:val="18"/>
                <w:szCs w:val="18"/>
              </w:rPr>
              <w:t>“</w:t>
            </w:r>
            <w:r>
              <w:rPr>
                <w:color w:val="000000"/>
                <w:sz w:val="18"/>
                <w:szCs w:val="18"/>
              </w:rPr>
              <w:t>双随机</w:t>
            </w:r>
            <w:r>
              <w:rPr>
                <w:color w:val="000000"/>
                <w:sz w:val="18"/>
                <w:szCs w:val="18"/>
              </w:rPr>
              <w:t>”</w:t>
            </w:r>
            <w:r>
              <w:rPr>
                <w:color w:val="000000"/>
                <w:sz w:val="18"/>
                <w:szCs w:val="18"/>
              </w:rPr>
              <w:t>执法检查用人单位数：按</w:t>
            </w:r>
            <w:r>
              <w:rPr>
                <w:color w:val="000000"/>
                <w:sz w:val="18"/>
                <w:szCs w:val="18"/>
              </w:rPr>
              <w:t>“</w:t>
            </w:r>
            <w:r>
              <w:rPr>
                <w:color w:val="000000"/>
                <w:sz w:val="18"/>
                <w:szCs w:val="18"/>
              </w:rPr>
              <w:t>双随机</w:t>
            </w:r>
            <w:r>
              <w:rPr>
                <w:color w:val="000000"/>
                <w:sz w:val="18"/>
                <w:szCs w:val="18"/>
              </w:rPr>
              <w:t>”</w:t>
            </w:r>
            <w:r>
              <w:rPr>
                <w:color w:val="000000"/>
                <w:sz w:val="18"/>
                <w:szCs w:val="18"/>
              </w:rPr>
              <w:t>抽查机制要求，辖区内劳动保障监察员到被检查用人单位及其经营场所或者劳动场所实施检查的人均单位数。根据目标完成率评分。目标完成率＜</w:t>
            </w:r>
            <w:r>
              <w:rPr>
                <w:color w:val="000000"/>
                <w:sz w:val="18"/>
                <w:szCs w:val="18"/>
              </w:rPr>
              <w:t>100%</w:t>
            </w:r>
            <w:r>
              <w:rPr>
                <w:color w:val="000000"/>
                <w:sz w:val="18"/>
                <w:szCs w:val="18"/>
              </w:rPr>
              <w:t>，按比例得分；</w:t>
            </w:r>
            <w:r>
              <w:rPr>
                <w:color w:val="000000"/>
                <w:sz w:val="18"/>
                <w:szCs w:val="18"/>
              </w:rPr>
              <w:t>100%≤</w:t>
            </w:r>
            <w:r>
              <w:rPr>
                <w:color w:val="000000"/>
                <w:sz w:val="18"/>
                <w:szCs w:val="18"/>
              </w:rPr>
              <w:t>目标完成率得满分。</w:t>
            </w:r>
          </w:p>
        </w:tc>
        <w:tc>
          <w:tcPr>
            <w:tcW w:w="964" w:type="pct"/>
            <w:tcBorders>
              <w:top w:val="single" w:sz="4" w:space="0" w:color="auto"/>
              <w:left w:val="single" w:sz="4" w:space="0" w:color="auto"/>
              <w:bottom w:val="single" w:sz="4" w:space="0" w:color="auto"/>
              <w:right w:val="single" w:sz="4" w:space="0" w:color="auto"/>
            </w:tcBorders>
            <w:vAlign w:val="center"/>
          </w:tcPr>
          <w:p w14:paraId="0C4F7589"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69.41</w:t>
            </w:r>
            <w:r>
              <w:rPr>
                <w:color w:val="000000"/>
                <w:kern w:val="0"/>
                <w:sz w:val="18"/>
                <w:szCs w:val="18"/>
              </w:rPr>
              <w:t>户</w:t>
            </w:r>
          </w:p>
        </w:tc>
        <w:tc>
          <w:tcPr>
            <w:tcW w:w="239" w:type="pct"/>
            <w:tcBorders>
              <w:top w:val="single" w:sz="4" w:space="0" w:color="auto"/>
              <w:left w:val="single" w:sz="4" w:space="0" w:color="auto"/>
              <w:bottom w:val="single" w:sz="4" w:space="0" w:color="auto"/>
              <w:right w:val="single" w:sz="4" w:space="0" w:color="auto"/>
            </w:tcBorders>
            <w:noWrap/>
            <w:vAlign w:val="center"/>
          </w:tcPr>
          <w:p w14:paraId="5D2FECE5"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r>
      <w:tr w:rsidR="00260726" w14:paraId="1636F413" w14:textId="77777777">
        <w:trPr>
          <w:trHeight w:val="920"/>
        </w:trPr>
        <w:tc>
          <w:tcPr>
            <w:tcW w:w="267" w:type="pct"/>
            <w:vMerge w:val="restart"/>
            <w:tcBorders>
              <w:top w:val="single" w:sz="4" w:space="0" w:color="auto"/>
              <w:left w:val="single" w:sz="4" w:space="0" w:color="auto"/>
              <w:bottom w:val="single" w:sz="4" w:space="0" w:color="auto"/>
              <w:right w:val="single" w:sz="4" w:space="0" w:color="auto"/>
            </w:tcBorders>
            <w:vAlign w:val="center"/>
          </w:tcPr>
          <w:p w14:paraId="54C52384" w14:textId="77777777" w:rsidR="00260726" w:rsidRDefault="00E936D8">
            <w:pPr>
              <w:widowControl/>
              <w:adjustRightInd w:val="0"/>
              <w:snapToGrid w:val="0"/>
              <w:jc w:val="center"/>
              <w:rPr>
                <w:color w:val="000000"/>
                <w:kern w:val="0"/>
                <w:sz w:val="18"/>
                <w:szCs w:val="18"/>
              </w:rPr>
            </w:pPr>
            <w:r>
              <w:rPr>
                <w:color w:val="000000"/>
                <w:kern w:val="0"/>
                <w:sz w:val="18"/>
                <w:szCs w:val="18"/>
              </w:rPr>
              <w:t>效益</w:t>
            </w: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566B6C98" w14:textId="0F45414C" w:rsidR="00260726" w:rsidRDefault="00E936D8">
            <w:pPr>
              <w:widowControl/>
              <w:adjustRightInd w:val="0"/>
              <w:snapToGrid w:val="0"/>
              <w:jc w:val="center"/>
              <w:rPr>
                <w:color w:val="000000"/>
                <w:kern w:val="0"/>
                <w:sz w:val="18"/>
                <w:szCs w:val="18"/>
              </w:rPr>
            </w:pPr>
            <w:r>
              <w:rPr>
                <w:color w:val="000000"/>
                <w:kern w:val="0"/>
                <w:sz w:val="18"/>
                <w:szCs w:val="18"/>
              </w:rPr>
              <w:t>社会</w:t>
            </w:r>
            <w:r w:rsidR="0085752A">
              <w:rPr>
                <w:rFonts w:hint="eastAsia"/>
                <w:color w:val="000000"/>
                <w:kern w:val="0"/>
                <w:sz w:val="18"/>
                <w:szCs w:val="18"/>
              </w:rPr>
              <w:t xml:space="preserve">  </w:t>
            </w:r>
            <w:r>
              <w:rPr>
                <w:color w:val="000000"/>
                <w:kern w:val="0"/>
                <w:sz w:val="18"/>
                <w:szCs w:val="18"/>
              </w:rPr>
              <w:t>效益</w:t>
            </w:r>
          </w:p>
        </w:tc>
        <w:tc>
          <w:tcPr>
            <w:tcW w:w="483" w:type="pct"/>
            <w:tcBorders>
              <w:top w:val="nil"/>
              <w:left w:val="nil"/>
              <w:bottom w:val="single" w:sz="4" w:space="0" w:color="auto"/>
              <w:right w:val="single" w:sz="4" w:space="0" w:color="auto"/>
            </w:tcBorders>
            <w:vAlign w:val="center"/>
          </w:tcPr>
          <w:p w14:paraId="1F2C893C"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企业职工基本养老保险参保缴费率</w:t>
            </w:r>
          </w:p>
        </w:tc>
        <w:tc>
          <w:tcPr>
            <w:tcW w:w="288" w:type="pct"/>
            <w:tcBorders>
              <w:top w:val="nil"/>
              <w:left w:val="nil"/>
              <w:bottom w:val="single" w:sz="4" w:space="0" w:color="auto"/>
              <w:right w:val="single" w:sz="4" w:space="0" w:color="auto"/>
            </w:tcBorders>
            <w:vAlign w:val="center"/>
          </w:tcPr>
          <w:p w14:paraId="73C81227"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90</w:t>
            </w:r>
            <w:r>
              <w:rPr>
                <w:color w:val="000000"/>
                <w:kern w:val="0"/>
                <w:sz w:val="18"/>
                <w:szCs w:val="18"/>
              </w:rPr>
              <w:t>%</w:t>
            </w:r>
          </w:p>
        </w:tc>
        <w:tc>
          <w:tcPr>
            <w:tcW w:w="192" w:type="pct"/>
            <w:tcBorders>
              <w:top w:val="nil"/>
              <w:left w:val="nil"/>
              <w:bottom w:val="single" w:sz="4" w:space="0" w:color="auto"/>
              <w:right w:val="single" w:sz="4" w:space="0" w:color="auto"/>
            </w:tcBorders>
            <w:noWrap/>
            <w:vAlign w:val="center"/>
          </w:tcPr>
          <w:p w14:paraId="67F3F63A"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c>
          <w:tcPr>
            <w:tcW w:w="2264" w:type="pct"/>
            <w:tcBorders>
              <w:top w:val="nil"/>
              <w:left w:val="nil"/>
              <w:bottom w:val="single" w:sz="4" w:space="0" w:color="auto"/>
              <w:right w:val="single" w:sz="4" w:space="0" w:color="auto"/>
            </w:tcBorders>
            <w:vAlign w:val="center"/>
          </w:tcPr>
          <w:p w14:paraId="18F306BB" w14:textId="77777777" w:rsidR="00260726" w:rsidRDefault="00E936D8">
            <w:pPr>
              <w:adjustRightInd w:val="0"/>
              <w:snapToGrid w:val="0"/>
              <w:rPr>
                <w:color w:val="000000"/>
                <w:sz w:val="18"/>
                <w:szCs w:val="18"/>
              </w:rPr>
            </w:pPr>
            <w:r>
              <w:rPr>
                <w:rFonts w:hint="eastAsia"/>
                <w:color w:val="000000"/>
                <w:kern w:val="0"/>
                <w:sz w:val="18"/>
                <w:szCs w:val="18"/>
              </w:rPr>
              <w:t>企业职工</w:t>
            </w:r>
            <w:r>
              <w:rPr>
                <w:color w:val="000000"/>
                <w:sz w:val="18"/>
                <w:szCs w:val="18"/>
              </w:rPr>
              <w:t>基本养老保险参保缴费率：</w:t>
            </w:r>
            <w:r>
              <w:rPr>
                <w:rFonts w:hint="eastAsia"/>
                <w:color w:val="000000"/>
                <w:kern w:val="0"/>
                <w:sz w:val="18"/>
                <w:szCs w:val="18"/>
              </w:rPr>
              <w:t>企业职工</w:t>
            </w:r>
            <w:r>
              <w:rPr>
                <w:color w:val="000000"/>
                <w:sz w:val="18"/>
                <w:szCs w:val="18"/>
              </w:rPr>
              <w:t>基本养老保险缴费人数占参保人数的比例。根据目标完成率评分。根据目标完成率评分，达到</w:t>
            </w:r>
            <w:r>
              <w:rPr>
                <w:color w:val="000000"/>
                <w:sz w:val="18"/>
                <w:szCs w:val="18"/>
              </w:rPr>
              <w:t>90%</w:t>
            </w:r>
            <w:r>
              <w:rPr>
                <w:color w:val="000000"/>
                <w:sz w:val="18"/>
                <w:szCs w:val="18"/>
              </w:rPr>
              <w:t>，得满分；低于</w:t>
            </w:r>
            <w:r>
              <w:rPr>
                <w:color w:val="000000"/>
                <w:sz w:val="18"/>
                <w:szCs w:val="18"/>
              </w:rPr>
              <w:t>90%</w:t>
            </w:r>
            <w:r>
              <w:rPr>
                <w:color w:val="000000"/>
                <w:sz w:val="18"/>
                <w:szCs w:val="18"/>
              </w:rPr>
              <w:t>，按照完成率与目标值的比重乘以权重得分。</w:t>
            </w:r>
          </w:p>
        </w:tc>
        <w:tc>
          <w:tcPr>
            <w:tcW w:w="964" w:type="pct"/>
            <w:tcBorders>
              <w:top w:val="nil"/>
              <w:left w:val="nil"/>
              <w:bottom w:val="single" w:sz="4" w:space="0" w:color="auto"/>
              <w:right w:val="single" w:sz="4" w:space="0" w:color="auto"/>
            </w:tcBorders>
            <w:vAlign w:val="center"/>
          </w:tcPr>
          <w:p w14:paraId="3B242FAA"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95.31</w:t>
            </w:r>
            <w:r>
              <w:rPr>
                <w:color w:val="000000"/>
                <w:kern w:val="0"/>
                <w:sz w:val="18"/>
                <w:szCs w:val="18"/>
              </w:rPr>
              <w:t>%</w:t>
            </w:r>
            <w:r>
              <w:rPr>
                <w:color w:val="000000"/>
                <w:kern w:val="0"/>
                <w:sz w:val="18"/>
                <w:szCs w:val="18"/>
              </w:rPr>
              <w:t>。</w:t>
            </w:r>
          </w:p>
        </w:tc>
        <w:tc>
          <w:tcPr>
            <w:tcW w:w="239" w:type="pct"/>
            <w:tcBorders>
              <w:top w:val="nil"/>
              <w:left w:val="nil"/>
              <w:bottom w:val="single" w:sz="4" w:space="0" w:color="auto"/>
              <w:right w:val="single" w:sz="4" w:space="0" w:color="auto"/>
            </w:tcBorders>
            <w:noWrap/>
            <w:vAlign w:val="center"/>
          </w:tcPr>
          <w:p w14:paraId="31BB3928"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r>
      <w:tr w:rsidR="00260726" w14:paraId="63104315" w14:textId="77777777">
        <w:trPr>
          <w:trHeight w:val="920"/>
        </w:trPr>
        <w:tc>
          <w:tcPr>
            <w:tcW w:w="267" w:type="pct"/>
            <w:vMerge/>
            <w:tcBorders>
              <w:top w:val="single" w:sz="4" w:space="0" w:color="auto"/>
              <w:left w:val="single" w:sz="4" w:space="0" w:color="auto"/>
              <w:bottom w:val="single" w:sz="4" w:space="0" w:color="auto"/>
              <w:right w:val="single" w:sz="4" w:space="0" w:color="auto"/>
            </w:tcBorders>
            <w:vAlign w:val="center"/>
          </w:tcPr>
          <w:p w14:paraId="508916F0"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35B47057"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4BC8F6E7" w14:textId="77777777" w:rsidR="00260726" w:rsidRDefault="00E936D8">
            <w:pPr>
              <w:widowControl/>
              <w:adjustRightInd w:val="0"/>
              <w:snapToGrid w:val="0"/>
              <w:jc w:val="center"/>
              <w:rPr>
                <w:color w:val="000000"/>
                <w:kern w:val="0"/>
                <w:sz w:val="18"/>
                <w:szCs w:val="18"/>
              </w:rPr>
            </w:pPr>
            <w:r>
              <w:rPr>
                <w:color w:val="000000"/>
                <w:kern w:val="0"/>
                <w:sz w:val="18"/>
                <w:szCs w:val="18"/>
              </w:rPr>
              <w:t>劳动人事争议仲裁结案率</w:t>
            </w:r>
          </w:p>
        </w:tc>
        <w:tc>
          <w:tcPr>
            <w:tcW w:w="288" w:type="pct"/>
            <w:tcBorders>
              <w:top w:val="single" w:sz="4" w:space="0" w:color="auto"/>
              <w:left w:val="nil"/>
              <w:bottom w:val="single" w:sz="4" w:space="0" w:color="auto"/>
              <w:right w:val="single" w:sz="4" w:space="0" w:color="auto"/>
            </w:tcBorders>
            <w:vAlign w:val="center"/>
          </w:tcPr>
          <w:p w14:paraId="6A8149F1" w14:textId="77777777" w:rsidR="00260726" w:rsidRDefault="00E936D8">
            <w:pPr>
              <w:widowControl/>
              <w:adjustRightInd w:val="0"/>
              <w:snapToGrid w:val="0"/>
              <w:jc w:val="center"/>
              <w:rPr>
                <w:color w:val="000000"/>
                <w:kern w:val="0"/>
                <w:sz w:val="18"/>
                <w:szCs w:val="18"/>
              </w:rPr>
            </w:pPr>
            <w:r>
              <w:rPr>
                <w:color w:val="000000"/>
                <w:kern w:val="0"/>
                <w:sz w:val="18"/>
                <w:szCs w:val="18"/>
              </w:rPr>
              <w:t>90%</w:t>
            </w:r>
          </w:p>
        </w:tc>
        <w:tc>
          <w:tcPr>
            <w:tcW w:w="192" w:type="pct"/>
            <w:tcBorders>
              <w:top w:val="single" w:sz="4" w:space="0" w:color="auto"/>
              <w:left w:val="nil"/>
              <w:bottom w:val="single" w:sz="4" w:space="0" w:color="auto"/>
              <w:right w:val="single" w:sz="4" w:space="0" w:color="auto"/>
            </w:tcBorders>
            <w:noWrap/>
            <w:vAlign w:val="center"/>
          </w:tcPr>
          <w:p w14:paraId="3B107CE9"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c>
          <w:tcPr>
            <w:tcW w:w="2264" w:type="pct"/>
            <w:tcBorders>
              <w:top w:val="single" w:sz="4" w:space="0" w:color="auto"/>
              <w:left w:val="nil"/>
              <w:bottom w:val="single" w:sz="4" w:space="0" w:color="auto"/>
              <w:right w:val="single" w:sz="4" w:space="0" w:color="auto"/>
            </w:tcBorders>
            <w:vAlign w:val="center"/>
          </w:tcPr>
          <w:p w14:paraId="303BFE41" w14:textId="77777777" w:rsidR="00260726" w:rsidRDefault="00E936D8">
            <w:pPr>
              <w:adjustRightInd w:val="0"/>
              <w:snapToGrid w:val="0"/>
              <w:rPr>
                <w:color w:val="000000"/>
                <w:sz w:val="18"/>
                <w:szCs w:val="18"/>
              </w:rPr>
            </w:pPr>
            <w:r>
              <w:rPr>
                <w:color w:val="000000"/>
                <w:sz w:val="18"/>
                <w:szCs w:val="18"/>
              </w:rPr>
              <w:t>劳动人事争议仲裁案件结案率：仲裁机构当期审结案件数占当期立案受理案件数与上期末累计未结案件总数的比例。根据目标完成率评分，达到</w:t>
            </w:r>
            <w:r>
              <w:rPr>
                <w:color w:val="000000"/>
                <w:sz w:val="18"/>
                <w:szCs w:val="18"/>
              </w:rPr>
              <w:t>90%</w:t>
            </w:r>
            <w:r>
              <w:rPr>
                <w:color w:val="000000"/>
                <w:sz w:val="18"/>
                <w:szCs w:val="18"/>
              </w:rPr>
              <w:t>，得满分；低于</w:t>
            </w:r>
            <w:r>
              <w:rPr>
                <w:color w:val="000000"/>
                <w:sz w:val="18"/>
                <w:szCs w:val="18"/>
              </w:rPr>
              <w:t>90%</w:t>
            </w:r>
            <w:r>
              <w:rPr>
                <w:color w:val="000000"/>
                <w:sz w:val="18"/>
                <w:szCs w:val="18"/>
              </w:rPr>
              <w:t>，按照完成率与目标值的比重乘以权重得分。</w:t>
            </w:r>
          </w:p>
        </w:tc>
        <w:tc>
          <w:tcPr>
            <w:tcW w:w="964" w:type="pct"/>
            <w:tcBorders>
              <w:top w:val="single" w:sz="4" w:space="0" w:color="auto"/>
              <w:left w:val="nil"/>
              <w:bottom w:val="single" w:sz="4" w:space="0" w:color="auto"/>
              <w:right w:val="single" w:sz="4" w:space="0" w:color="auto"/>
            </w:tcBorders>
            <w:vAlign w:val="center"/>
          </w:tcPr>
          <w:p w14:paraId="0D4E3F44"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98.89</w:t>
            </w:r>
            <w:r>
              <w:rPr>
                <w:color w:val="000000"/>
                <w:kern w:val="0"/>
                <w:sz w:val="18"/>
                <w:szCs w:val="18"/>
              </w:rPr>
              <w:t>%</w:t>
            </w:r>
            <w:r>
              <w:rPr>
                <w:color w:val="000000"/>
                <w:kern w:val="0"/>
                <w:sz w:val="18"/>
                <w:szCs w:val="18"/>
              </w:rPr>
              <w:t>。</w:t>
            </w:r>
          </w:p>
        </w:tc>
        <w:tc>
          <w:tcPr>
            <w:tcW w:w="239" w:type="pct"/>
            <w:tcBorders>
              <w:top w:val="single" w:sz="4" w:space="0" w:color="auto"/>
              <w:left w:val="nil"/>
              <w:bottom w:val="single" w:sz="4" w:space="0" w:color="auto"/>
              <w:right w:val="single" w:sz="4" w:space="0" w:color="auto"/>
            </w:tcBorders>
            <w:noWrap/>
            <w:vAlign w:val="center"/>
          </w:tcPr>
          <w:p w14:paraId="4FE96E17"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r>
      <w:tr w:rsidR="00260726" w14:paraId="6298B2F8" w14:textId="77777777">
        <w:trPr>
          <w:trHeight w:val="920"/>
        </w:trPr>
        <w:tc>
          <w:tcPr>
            <w:tcW w:w="267" w:type="pct"/>
            <w:vMerge/>
            <w:tcBorders>
              <w:top w:val="single" w:sz="4" w:space="0" w:color="auto"/>
              <w:left w:val="single" w:sz="4" w:space="0" w:color="auto"/>
              <w:bottom w:val="single" w:sz="4" w:space="0" w:color="auto"/>
              <w:right w:val="single" w:sz="4" w:space="0" w:color="auto"/>
            </w:tcBorders>
            <w:vAlign w:val="center"/>
          </w:tcPr>
          <w:p w14:paraId="600DBC63"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70040B24"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4D01C956" w14:textId="77777777" w:rsidR="00260726" w:rsidRDefault="00E936D8">
            <w:pPr>
              <w:widowControl/>
              <w:adjustRightInd w:val="0"/>
              <w:snapToGrid w:val="0"/>
              <w:jc w:val="center"/>
              <w:rPr>
                <w:color w:val="000000"/>
                <w:kern w:val="0"/>
                <w:sz w:val="18"/>
                <w:szCs w:val="18"/>
              </w:rPr>
            </w:pPr>
            <w:r>
              <w:rPr>
                <w:color w:val="000000"/>
                <w:kern w:val="0"/>
                <w:sz w:val="18"/>
                <w:szCs w:val="18"/>
              </w:rPr>
              <w:t>劳动人事争议</w:t>
            </w:r>
            <w:r>
              <w:rPr>
                <w:rFonts w:hint="eastAsia"/>
                <w:color w:val="000000"/>
                <w:kern w:val="0"/>
                <w:sz w:val="18"/>
                <w:szCs w:val="18"/>
              </w:rPr>
              <w:t>调解</w:t>
            </w:r>
            <w:r>
              <w:rPr>
                <w:color w:val="000000"/>
                <w:kern w:val="0"/>
                <w:sz w:val="18"/>
                <w:szCs w:val="18"/>
              </w:rPr>
              <w:t>成功率</w:t>
            </w:r>
          </w:p>
        </w:tc>
        <w:tc>
          <w:tcPr>
            <w:tcW w:w="288" w:type="pct"/>
            <w:tcBorders>
              <w:top w:val="single" w:sz="4" w:space="0" w:color="auto"/>
              <w:left w:val="nil"/>
              <w:bottom w:val="single" w:sz="4" w:space="0" w:color="auto"/>
              <w:right w:val="single" w:sz="4" w:space="0" w:color="auto"/>
            </w:tcBorders>
            <w:vAlign w:val="center"/>
          </w:tcPr>
          <w:p w14:paraId="0C5ACF9F" w14:textId="77777777" w:rsidR="00260726" w:rsidRDefault="00E936D8">
            <w:pPr>
              <w:widowControl/>
              <w:adjustRightInd w:val="0"/>
              <w:snapToGrid w:val="0"/>
              <w:jc w:val="center"/>
              <w:rPr>
                <w:color w:val="000000"/>
                <w:kern w:val="0"/>
                <w:sz w:val="18"/>
                <w:szCs w:val="18"/>
              </w:rPr>
            </w:pPr>
            <w:r>
              <w:rPr>
                <w:color w:val="000000"/>
                <w:kern w:val="0"/>
                <w:sz w:val="18"/>
                <w:szCs w:val="18"/>
              </w:rPr>
              <w:t>60%</w:t>
            </w:r>
          </w:p>
        </w:tc>
        <w:tc>
          <w:tcPr>
            <w:tcW w:w="192" w:type="pct"/>
            <w:tcBorders>
              <w:top w:val="single" w:sz="4" w:space="0" w:color="auto"/>
              <w:left w:val="nil"/>
              <w:bottom w:val="single" w:sz="4" w:space="0" w:color="auto"/>
              <w:right w:val="single" w:sz="4" w:space="0" w:color="auto"/>
            </w:tcBorders>
            <w:noWrap/>
            <w:vAlign w:val="center"/>
          </w:tcPr>
          <w:p w14:paraId="666235AE"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c>
          <w:tcPr>
            <w:tcW w:w="2264" w:type="pct"/>
            <w:tcBorders>
              <w:top w:val="single" w:sz="4" w:space="0" w:color="auto"/>
              <w:left w:val="nil"/>
              <w:bottom w:val="single" w:sz="4" w:space="0" w:color="auto"/>
              <w:right w:val="single" w:sz="4" w:space="0" w:color="auto"/>
            </w:tcBorders>
            <w:vAlign w:val="center"/>
          </w:tcPr>
          <w:p w14:paraId="446F733F" w14:textId="77777777" w:rsidR="00260726" w:rsidRDefault="00E936D8">
            <w:pPr>
              <w:adjustRightInd w:val="0"/>
              <w:snapToGrid w:val="0"/>
              <w:rPr>
                <w:color w:val="000000"/>
                <w:sz w:val="18"/>
                <w:szCs w:val="18"/>
              </w:rPr>
            </w:pPr>
            <w:r>
              <w:rPr>
                <w:color w:val="000000"/>
                <w:sz w:val="18"/>
                <w:szCs w:val="18"/>
              </w:rPr>
              <w:t>劳动人事争议调解成功率：劳动人事争议调解组织和仲裁机构结案案件中以调解方式成功解决的案件比例。根据目标完成率评分，达到</w:t>
            </w:r>
            <w:r>
              <w:rPr>
                <w:color w:val="000000"/>
                <w:sz w:val="18"/>
                <w:szCs w:val="18"/>
              </w:rPr>
              <w:t>60%</w:t>
            </w:r>
            <w:r>
              <w:rPr>
                <w:color w:val="000000"/>
                <w:sz w:val="18"/>
                <w:szCs w:val="18"/>
              </w:rPr>
              <w:t>，得满分；低于</w:t>
            </w:r>
            <w:r>
              <w:rPr>
                <w:color w:val="000000"/>
                <w:sz w:val="18"/>
                <w:szCs w:val="18"/>
              </w:rPr>
              <w:t>60%</w:t>
            </w:r>
            <w:r>
              <w:rPr>
                <w:color w:val="000000"/>
                <w:sz w:val="18"/>
                <w:szCs w:val="18"/>
              </w:rPr>
              <w:t>，按照完成率与目标值的比重乘以权重得分。</w:t>
            </w:r>
          </w:p>
        </w:tc>
        <w:tc>
          <w:tcPr>
            <w:tcW w:w="964" w:type="pct"/>
            <w:tcBorders>
              <w:top w:val="single" w:sz="4" w:space="0" w:color="auto"/>
              <w:left w:val="nil"/>
              <w:bottom w:val="single" w:sz="4" w:space="0" w:color="auto"/>
              <w:right w:val="single" w:sz="4" w:space="0" w:color="auto"/>
            </w:tcBorders>
            <w:vAlign w:val="center"/>
          </w:tcPr>
          <w:p w14:paraId="79DDF7A9"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rFonts w:hint="eastAsia"/>
                <w:color w:val="000000"/>
                <w:kern w:val="0"/>
                <w:sz w:val="18"/>
                <w:szCs w:val="18"/>
              </w:rPr>
              <w:t>85.61</w:t>
            </w:r>
            <w:r>
              <w:rPr>
                <w:color w:val="000000"/>
                <w:kern w:val="0"/>
                <w:sz w:val="18"/>
                <w:szCs w:val="18"/>
              </w:rPr>
              <w:t>%</w:t>
            </w:r>
            <w:r>
              <w:rPr>
                <w:color w:val="000000"/>
                <w:kern w:val="0"/>
                <w:sz w:val="18"/>
                <w:szCs w:val="18"/>
              </w:rPr>
              <w:t>。</w:t>
            </w:r>
          </w:p>
        </w:tc>
        <w:tc>
          <w:tcPr>
            <w:tcW w:w="239" w:type="pct"/>
            <w:tcBorders>
              <w:top w:val="single" w:sz="4" w:space="0" w:color="auto"/>
              <w:left w:val="nil"/>
              <w:bottom w:val="single" w:sz="4" w:space="0" w:color="auto"/>
              <w:right w:val="single" w:sz="4" w:space="0" w:color="auto"/>
            </w:tcBorders>
            <w:noWrap/>
            <w:vAlign w:val="center"/>
          </w:tcPr>
          <w:p w14:paraId="3A8841F0"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r>
      <w:tr w:rsidR="00260726" w14:paraId="35130C60" w14:textId="77777777">
        <w:trPr>
          <w:trHeight w:val="1128"/>
        </w:trPr>
        <w:tc>
          <w:tcPr>
            <w:tcW w:w="267" w:type="pct"/>
            <w:vMerge/>
            <w:tcBorders>
              <w:top w:val="single" w:sz="4" w:space="0" w:color="auto"/>
              <w:left w:val="single" w:sz="4" w:space="0" w:color="auto"/>
              <w:bottom w:val="single" w:sz="4" w:space="0" w:color="auto"/>
              <w:right w:val="single" w:sz="4" w:space="0" w:color="auto"/>
            </w:tcBorders>
            <w:vAlign w:val="center"/>
          </w:tcPr>
          <w:p w14:paraId="68C2A53A"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5BFEA961"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760645B5" w14:textId="77777777" w:rsidR="00260726" w:rsidRDefault="00E936D8">
            <w:pPr>
              <w:widowControl/>
              <w:adjustRightInd w:val="0"/>
              <w:snapToGrid w:val="0"/>
              <w:jc w:val="center"/>
              <w:rPr>
                <w:color w:val="000000"/>
                <w:kern w:val="0"/>
                <w:sz w:val="18"/>
                <w:szCs w:val="18"/>
              </w:rPr>
            </w:pPr>
            <w:r>
              <w:rPr>
                <w:color w:val="000000"/>
                <w:kern w:val="0"/>
                <w:sz w:val="18"/>
                <w:szCs w:val="18"/>
              </w:rPr>
              <w:t>劳动保障监察举报投诉案件结案率</w:t>
            </w:r>
          </w:p>
        </w:tc>
        <w:tc>
          <w:tcPr>
            <w:tcW w:w="288" w:type="pct"/>
            <w:tcBorders>
              <w:top w:val="nil"/>
              <w:left w:val="nil"/>
              <w:bottom w:val="single" w:sz="4" w:space="0" w:color="auto"/>
              <w:right w:val="single" w:sz="4" w:space="0" w:color="auto"/>
            </w:tcBorders>
            <w:vAlign w:val="center"/>
          </w:tcPr>
          <w:p w14:paraId="67A123F0" w14:textId="77777777" w:rsidR="00260726" w:rsidRDefault="00E936D8">
            <w:pPr>
              <w:widowControl/>
              <w:adjustRightInd w:val="0"/>
              <w:snapToGrid w:val="0"/>
              <w:jc w:val="center"/>
              <w:rPr>
                <w:color w:val="000000"/>
                <w:kern w:val="0"/>
                <w:sz w:val="18"/>
                <w:szCs w:val="18"/>
              </w:rPr>
            </w:pPr>
            <w:r>
              <w:rPr>
                <w:color w:val="000000"/>
                <w:kern w:val="0"/>
                <w:sz w:val="18"/>
                <w:szCs w:val="18"/>
              </w:rPr>
              <w:t>98%</w:t>
            </w:r>
          </w:p>
        </w:tc>
        <w:tc>
          <w:tcPr>
            <w:tcW w:w="192" w:type="pct"/>
            <w:tcBorders>
              <w:top w:val="nil"/>
              <w:left w:val="nil"/>
              <w:bottom w:val="single" w:sz="4" w:space="0" w:color="auto"/>
              <w:right w:val="single" w:sz="4" w:space="0" w:color="auto"/>
            </w:tcBorders>
            <w:noWrap/>
            <w:vAlign w:val="center"/>
          </w:tcPr>
          <w:p w14:paraId="005B181F"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c>
          <w:tcPr>
            <w:tcW w:w="2264" w:type="pct"/>
            <w:tcBorders>
              <w:top w:val="nil"/>
              <w:left w:val="nil"/>
              <w:bottom w:val="single" w:sz="4" w:space="0" w:color="auto"/>
              <w:right w:val="single" w:sz="4" w:space="0" w:color="auto"/>
            </w:tcBorders>
            <w:vAlign w:val="center"/>
          </w:tcPr>
          <w:p w14:paraId="34DB06CE" w14:textId="77777777" w:rsidR="00260726" w:rsidRDefault="00E936D8">
            <w:pPr>
              <w:adjustRightInd w:val="0"/>
              <w:snapToGrid w:val="0"/>
              <w:rPr>
                <w:color w:val="000000"/>
                <w:sz w:val="18"/>
                <w:szCs w:val="18"/>
              </w:rPr>
            </w:pPr>
            <w:r>
              <w:rPr>
                <w:color w:val="000000"/>
                <w:sz w:val="18"/>
                <w:szCs w:val="18"/>
              </w:rPr>
              <w:t>劳动保障监察举报投诉案件结案率：劳动保障监察机构按规定期限查办结案的劳动保障监察举报投诉案件数量占全部劳动保障监察举报投诉案件数量的比例。根据目标完成率评分，达到</w:t>
            </w:r>
            <w:r>
              <w:rPr>
                <w:color w:val="000000"/>
                <w:sz w:val="18"/>
                <w:szCs w:val="18"/>
              </w:rPr>
              <w:t>98%</w:t>
            </w:r>
            <w:r>
              <w:rPr>
                <w:color w:val="000000"/>
                <w:sz w:val="18"/>
                <w:szCs w:val="18"/>
              </w:rPr>
              <w:t>，得满分；低于</w:t>
            </w:r>
            <w:r>
              <w:rPr>
                <w:color w:val="000000"/>
                <w:sz w:val="18"/>
                <w:szCs w:val="18"/>
              </w:rPr>
              <w:t>98%</w:t>
            </w:r>
            <w:r>
              <w:rPr>
                <w:color w:val="000000"/>
                <w:sz w:val="18"/>
                <w:szCs w:val="18"/>
              </w:rPr>
              <w:t>，按照完成率与目标值的比重乘以权重得分。</w:t>
            </w:r>
          </w:p>
        </w:tc>
        <w:tc>
          <w:tcPr>
            <w:tcW w:w="964" w:type="pct"/>
            <w:tcBorders>
              <w:top w:val="nil"/>
              <w:left w:val="nil"/>
              <w:bottom w:val="single" w:sz="4" w:space="0" w:color="auto"/>
              <w:right w:val="single" w:sz="4" w:space="0" w:color="auto"/>
            </w:tcBorders>
            <w:vAlign w:val="center"/>
          </w:tcPr>
          <w:p w14:paraId="7BD83FAA"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color w:val="000000"/>
                <w:kern w:val="0"/>
                <w:sz w:val="18"/>
                <w:szCs w:val="18"/>
              </w:rPr>
              <w:t>100%</w:t>
            </w:r>
            <w:r>
              <w:rPr>
                <w:color w:val="000000"/>
                <w:kern w:val="0"/>
                <w:sz w:val="18"/>
                <w:szCs w:val="18"/>
              </w:rPr>
              <w:t>。</w:t>
            </w:r>
          </w:p>
        </w:tc>
        <w:tc>
          <w:tcPr>
            <w:tcW w:w="239" w:type="pct"/>
            <w:tcBorders>
              <w:top w:val="nil"/>
              <w:left w:val="nil"/>
              <w:bottom w:val="single" w:sz="4" w:space="0" w:color="auto"/>
              <w:right w:val="single" w:sz="4" w:space="0" w:color="auto"/>
            </w:tcBorders>
            <w:noWrap/>
            <w:vAlign w:val="center"/>
          </w:tcPr>
          <w:p w14:paraId="3359F88B"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r>
      <w:tr w:rsidR="00260726" w14:paraId="4DBA26D7" w14:textId="77777777">
        <w:trPr>
          <w:trHeight w:val="693"/>
        </w:trPr>
        <w:tc>
          <w:tcPr>
            <w:tcW w:w="267" w:type="pct"/>
            <w:vMerge/>
            <w:tcBorders>
              <w:top w:val="single" w:sz="4" w:space="0" w:color="auto"/>
              <w:left w:val="single" w:sz="4" w:space="0" w:color="auto"/>
              <w:bottom w:val="single" w:sz="4" w:space="0" w:color="auto"/>
              <w:right w:val="single" w:sz="4" w:space="0" w:color="auto"/>
            </w:tcBorders>
            <w:vAlign w:val="center"/>
          </w:tcPr>
          <w:p w14:paraId="17C71F63" w14:textId="77777777" w:rsidR="00260726" w:rsidRDefault="00260726">
            <w:pPr>
              <w:widowControl/>
              <w:adjustRightInd w:val="0"/>
              <w:snapToGrid w:val="0"/>
              <w:jc w:val="left"/>
              <w:rPr>
                <w:color w:val="000000"/>
                <w:kern w:val="0"/>
                <w:sz w:val="18"/>
                <w:szCs w:val="18"/>
              </w:rPr>
            </w:pPr>
          </w:p>
        </w:tc>
        <w:tc>
          <w:tcPr>
            <w:tcW w:w="299" w:type="pct"/>
            <w:vMerge w:val="restart"/>
            <w:tcBorders>
              <w:top w:val="single" w:sz="4" w:space="0" w:color="auto"/>
              <w:left w:val="single" w:sz="4" w:space="0" w:color="auto"/>
              <w:bottom w:val="single" w:sz="4" w:space="0" w:color="auto"/>
              <w:right w:val="single" w:sz="4" w:space="0" w:color="auto"/>
            </w:tcBorders>
            <w:vAlign w:val="center"/>
          </w:tcPr>
          <w:p w14:paraId="2A5E82E4" w14:textId="77777777" w:rsidR="00260726" w:rsidRDefault="00E936D8">
            <w:pPr>
              <w:widowControl/>
              <w:adjustRightInd w:val="0"/>
              <w:snapToGrid w:val="0"/>
              <w:jc w:val="center"/>
              <w:rPr>
                <w:color w:val="000000"/>
                <w:kern w:val="0"/>
                <w:sz w:val="18"/>
                <w:szCs w:val="18"/>
              </w:rPr>
            </w:pPr>
            <w:r>
              <w:rPr>
                <w:color w:val="000000"/>
                <w:kern w:val="0"/>
                <w:sz w:val="18"/>
                <w:szCs w:val="18"/>
              </w:rPr>
              <w:t>可持续发展</w:t>
            </w:r>
          </w:p>
        </w:tc>
        <w:tc>
          <w:tcPr>
            <w:tcW w:w="483" w:type="pct"/>
            <w:tcBorders>
              <w:top w:val="nil"/>
              <w:left w:val="nil"/>
              <w:bottom w:val="single" w:sz="4" w:space="0" w:color="auto"/>
              <w:right w:val="single" w:sz="4" w:space="0" w:color="auto"/>
            </w:tcBorders>
            <w:vAlign w:val="center"/>
          </w:tcPr>
          <w:p w14:paraId="59F10845" w14:textId="77777777" w:rsidR="00260726" w:rsidRDefault="00E936D8">
            <w:pPr>
              <w:widowControl/>
              <w:adjustRightInd w:val="0"/>
              <w:snapToGrid w:val="0"/>
              <w:jc w:val="center"/>
              <w:rPr>
                <w:color w:val="000000"/>
                <w:kern w:val="0"/>
                <w:sz w:val="18"/>
                <w:szCs w:val="18"/>
              </w:rPr>
            </w:pPr>
            <w:r>
              <w:rPr>
                <w:color w:val="000000"/>
                <w:kern w:val="0"/>
                <w:sz w:val="18"/>
                <w:szCs w:val="18"/>
              </w:rPr>
              <w:t>人社事业培训</w:t>
            </w:r>
          </w:p>
        </w:tc>
        <w:tc>
          <w:tcPr>
            <w:tcW w:w="288" w:type="pct"/>
            <w:tcBorders>
              <w:top w:val="nil"/>
              <w:left w:val="nil"/>
              <w:bottom w:val="single" w:sz="4" w:space="0" w:color="auto"/>
              <w:right w:val="single" w:sz="4" w:space="0" w:color="auto"/>
            </w:tcBorders>
            <w:vAlign w:val="center"/>
          </w:tcPr>
          <w:p w14:paraId="65412E3B" w14:textId="77777777" w:rsidR="00260726" w:rsidRDefault="00E936D8">
            <w:pPr>
              <w:widowControl/>
              <w:adjustRightInd w:val="0"/>
              <w:snapToGrid w:val="0"/>
              <w:jc w:val="center"/>
              <w:rPr>
                <w:color w:val="000000"/>
                <w:kern w:val="0"/>
                <w:sz w:val="18"/>
                <w:szCs w:val="18"/>
              </w:rPr>
            </w:pPr>
            <w:r>
              <w:rPr>
                <w:color w:val="000000"/>
                <w:kern w:val="0"/>
                <w:sz w:val="18"/>
                <w:szCs w:val="18"/>
              </w:rPr>
              <w:t>20</w:t>
            </w:r>
            <w:r>
              <w:rPr>
                <w:color w:val="000000"/>
                <w:kern w:val="0"/>
                <w:sz w:val="18"/>
                <w:szCs w:val="18"/>
              </w:rPr>
              <w:t>次</w:t>
            </w:r>
          </w:p>
        </w:tc>
        <w:tc>
          <w:tcPr>
            <w:tcW w:w="192" w:type="pct"/>
            <w:tcBorders>
              <w:top w:val="nil"/>
              <w:left w:val="nil"/>
              <w:bottom w:val="single" w:sz="4" w:space="0" w:color="auto"/>
              <w:right w:val="single" w:sz="4" w:space="0" w:color="auto"/>
            </w:tcBorders>
            <w:noWrap/>
            <w:vAlign w:val="center"/>
          </w:tcPr>
          <w:p w14:paraId="13164617"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c>
          <w:tcPr>
            <w:tcW w:w="2264" w:type="pct"/>
            <w:tcBorders>
              <w:top w:val="nil"/>
              <w:left w:val="nil"/>
              <w:bottom w:val="single" w:sz="4" w:space="0" w:color="auto"/>
              <w:right w:val="single" w:sz="4" w:space="0" w:color="auto"/>
            </w:tcBorders>
            <w:vAlign w:val="center"/>
          </w:tcPr>
          <w:p w14:paraId="2AD3335F" w14:textId="77777777" w:rsidR="00260726" w:rsidRDefault="00E936D8">
            <w:pPr>
              <w:adjustRightInd w:val="0"/>
              <w:snapToGrid w:val="0"/>
              <w:rPr>
                <w:color w:val="000000"/>
                <w:sz w:val="18"/>
                <w:szCs w:val="18"/>
              </w:rPr>
            </w:pPr>
            <w:r>
              <w:rPr>
                <w:color w:val="000000"/>
                <w:sz w:val="18"/>
                <w:szCs w:val="18"/>
              </w:rPr>
              <w:t>各类教育培训场次</w:t>
            </w:r>
            <w:r>
              <w:rPr>
                <w:color w:val="000000"/>
                <w:sz w:val="18"/>
                <w:szCs w:val="18"/>
              </w:rPr>
              <w:t>≥20</w:t>
            </w:r>
            <w:r>
              <w:rPr>
                <w:color w:val="000000"/>
                <w:sz w:val="18"/>
                <w:szCs w:val="18"/>
              </w:rPr>
              <w:t>次，得满分；各类教育培训场次＜</w:t>
            </w:r>
            <w:r>
              <w:rPr>
                <w:color w:val="000000"/>
                <w:sz w:val="18"/>
                <w:szCs w:val="18"/>
              </w:rPr>
              <w:t>20</w:t>
            </w:r>
            <w:r>
              <w:rPr>
                <w:color w:val="000000"/>
                <w:sz w:val="18"/>
                <w:szCs w:val="18"/>
              </w:rPr>
              <w:t>次，按照实际业绩值与标准值的比值，乘以权重分计分。</w:t>
            </w:r>
          </w:p>
        </w:tc>
        <w:tc>
          <w:tcPr>
            <w:tcW w:w="964" w:type="pct"/>
            <w:tcBorders>
              <w:top w:val="nil"/>
              <w:left w:val="nil"/>
              <w:bottom w:val="single" w:sz="4" w:space="0" w:color="auto"/>
              <w:right w:val="single" w:sz="4" w:space="0" w:color="auto"/>
            </w:tcBorders>
            <w:vAlign w:val="center"/>
          </w:tcPr>
          <w:p w14:paraId="1C700E35" w14:textId="77777777" w:rsidR="00260726" w:rsidRDefault="00E936D8">
            <w:pPr>
              <w:widowControl/>
              <w:adjustRightInd w:val="0"/>
              <w:snapToGrid w:val="0"/>
              <w:jc w:val="left"/>
              <w:rPr>
                <w:color w:val="000000"/>
                <w:kern w:val="0"/>
                <w:sz w:val="18"/>
                <w:szCs w:val="18"/>
              </w:rPr>
            </w:pPr>
            <w:r>
              <w:rPr>
                <w:color w:val="000000"/>
                <w:kern w:val="0"/>
                <w:sz w:val="18"/>
                <w:szCs w:val="18"/>
              </w:rPr>
              <w:t>各类教育培训场次</w:t>
            </w:r>
            <w:r>
              <w:rPr>
                <w:rFonts w:hint="eastAsia"/>
                <w:color w:val="000000"/>
                <w:kern w:val="0"/>
                <w:sz w:val="18"/>
                <w:szCs w:val="18"/>
              </w:rPr>
              <w:t>20</w:t>
            </w:r>
            <w:r>
              <w:rPr>
                <w:color w:val="000000"/>
                <w:kern w:val="0"/>
                <w:sz w:val="18"/>
                <w:szCs w:val="18"/>
              </w:rPr>
              <w:t>次。</w:t>
            </w:r>
          </w:p>
        </w:tc>
        <w:tc>
          <w:tcPr>
            <w:tcW w:w="239" w:type="pct"/>
            <w:tcBorders>
              <w:top w:val="nil"/>
              <w:left w:val="nil"/>
              <w:bottom w:val="single" w:sz="4" w:space="0" w:color="auto"/>
              <w:right w:val="single" w:sz="4" w:space="0" w:color="auto"/>
            </w:tcBorders>
            <w:noWrap/>
            <w:vAlign w:val="center"/>
          </w:tcPr>
          <w:p w14:paraId="73D818D6"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r>
      <w:tr w:rsidR="00260726" w14:paraId="6A4C121B" w14:textId="77777777">
        <w:trPr>
          <w:trHeight w:val="639"/>
        </w:trPr>
        <w:tc>
          <w:tcPr>
            <w:tcW w:w="267" w:type="pct"/>
            <w:vMerge/>
            <w:tcBorders>
              <w:top w:val="single" w:sz="4" w:space="0" w:color="auto"/>
              <w:left w:val="single" w:sz="4" w:space="0" w:color="auto"/>
              <w:bottom w:val="single" w:sz="4" w:space="0" w:color="auto"/>
              <w:right w:val="single" w:sz="4" w:space="0" w:color="auto"/>
            </w:tcBorders>
            <w:vAlign w:val="center"/>
          </w:tcPr>
          <w:p w14:paraId="36B6340A"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13D80FCD" w14:textId="77777777" w:rsidR="00260726" w:rsidRDefault="00260726">
            <w:pPr>
              <w:widowControl/>
              <w:adjustRightInd w:val="0"/>
              <w:snapToGrid w:val="0"/>
              <w:jc w:val="left"/>
              <w:rPr>
                <w:color w:val="000000"/>
                <w:kern w:val="0"/>
                <w:sz w:val="18"/>
                <w:szCs w:val="18"/>
              </w:rPr>
            </w:pPr>
          </w:p>
        </w:tc>
        <w:tc>
          <w:tcPr>
            <w:tcW w:w="483" w:type="pct"/>
            <w:tcBorders>
              <w:top w:val="nil"/>
              <w:left w:val="nil"/>
              <w:bottom w:val="single" w:sz="4" w:space="0" w:color="auto"/>
              <w:right w:val="single" w:sz="4" w:space="0" w:color="auto"/>
            </w:tcBorders>
            <w:vAlign w:val="center"/>
          </w:tcPr>
          <w:p w14:paraId="57EACF86" w14:textId="77777777" w:rsidR="00260726" w:rsidRDefault="00E936D8">
            <w:pPr>
              <w:widowControl/>
              <w:adjustRightInd w:val="0"/>
              <w:snapToGrid w:val="0"/>
              <w:jc w:val="center"/>
              <w:rPr>
                <w:color w:val="000000"/>
                <w:kern w:val="0"/>
                <w:sz w:val="18"/>
                <w:szCs w:val="18"/>
              </w:rPr>
            </w:pPr>
            <w:r>
              <w:rPr>
                <w:color w:val="000000"/>
                <w:kern w:val="0"/>
                <w:sz w:val="18"/>
                <w:szCs w:val="18"/>
              </w:rPr>
              <w:t>人社事业宣传</w:t>
            </w:r>
          </w:p>
        </w:tc>
        <w:tc>
          <w:tcPr>
            <w:tcW w:w="288" w:type="pct"/>
            <w:tcBorders>
              <w:top w:val="nil"/>
              <w:left w:val="nil"/>
              <w:bottom w:val="single" w:sz="4" w:space="0" w:color="auto"/>
              <w:right w:val="single" w:sz="4" w:space="0" w:color="auto"/>
            </w:tcBorders>
            <w:vAlign w:val="center"/>
          </w:tcPr>
          <w:p w14:paraId="7F7453D2" w14:textId="77777777" w:rsidR="00260726" w:rsidRDefault="00E936D8">
            <w:pPr>
              <w:widowControl/>
              <w:adjustRightInd w:val="0"/>
              <w:snapToGrid w:val="0"/>
              <w:jc w:val="center"/>
              <w:rPr>
                <w:color w:val="000000"/>
                <w:kern w:val="0"/>
                <w:sz w:val="18"/>
                <w:szCs w:val="18"/>
              </w:rPr>
            </w:pPr>
            <w:r>
              <w:rPr>
                <w:color w:val="000000"/>
                <w:kern w:val="0"/>
                <w:sz w:val="18"/>
                <w:szCs w:val="18"/>
              </w:rPr>
              <w:t>5</w:t>
            </w:r>
            <w:r>
              <w:rPr>
                <w:color w:val="000000"/>
                <w:kern w:val="0"/>
                <w:sz w:val="18"/>
                <w:szCs w:val="18"/>
              </w:rPr>
              <w:t>项</w:t>
            </w:r>
          </w:p>
        </w:tc>
        <w:tc>
          <w:tcPr>
            <w:tcW w:w="192" w:type="pct"/>
            <w:tcBorders>
              <w:top w:val="nil"/>
              <w:left w:val="nil"/>
              <w:bottom w:val="single" w:sz="4" w:space="0" w:color="auto"/>
              <w:right w:val="single" w:sz="4" w:space="0" w:color="auto"/>
            </w:tcBorders>
            <w:noWrap/>
            <w:vAlign w:val="center"/>
          </w:tcPr>
          <w:p w14:paraId="23F964EC"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c>
          <w:tcPr>
            <w:tcW w:w="2264" w:type="pct"/>
            <w:tcBorders>
              <w:top w:val="nil"/>
              <w:left w:val="nil"/>
              <w:bottom w:val="single" w:sz="4" w:space="0" w:color="auto"/>
              <w:right w:val="single" w:sz="4" w:space="0" w:color="auto"/>
            </w:tcBorders>
            <w:vAlign w:val="center"/>
          </w:tcPr>
          <w:p w14:paraId="1A747687" w14:textId="77777777" w:rsidR="00260726" w:rsidRDefault="00E936D8">
            <w:pPr>
              <w:adjustRightInd w:val="0"/>
              <w:snapToGrid w:val="0"/>
              <w:rPr>
                <w:color w:val="000000"/>
                <w:sz w:val="18"/>
                <w:szCs w:val="18"/>
              </w:rPr>
            </w:pPr>
            <w:r>
              <w:rPr>
                <w:color w:val="000000"/>
                <w:sz w:val="18"/>
                <w:szCs w:val="18"/>
              </w:rPr>
              <w:t>各类宣传项目</w:t>
            </w:r>
            <w:r>
              <w:rPr>
                <w:color w:val="000000"/>
                <w:sz w:val="18"/>
                <w:szCs w:val="18"/>
              </w:rPr>
              <w:t>≥5</w:t>
            </w:r>
            <w:r>
              <w:rPr>
                <w:color w:val="000000"/>
                <w:sz w:val="18"/>
                <w:szCs w:val="18"/>
              </w:rPr>
              <w:t>项，得满分；＜</w:t>
            </w:r>
            <w:r>
              <w:rPr>
                <w:color w:val="000000"/>
                <w:sz w:val="18"/>
                <w:szCs w:val="18"/>
              </w:rPr>
              <w:t>5</w:t>
            </w:r>
            <w:r>
              <w:rPr>
                <w:color w:val="000000"/>
                <w:sz w:val="18"/>
                <w:szCs w:val="18"/>
              </w:rPr>
              <w:t>项，按照实际业绩值与标准值的比值，乘以权重分计分。</w:t>
            </w:r>
          </w:p>
        </w:tc>
        <w:tc>
          <w:tcPr>
            <w:tcW w:w="964" w:type="pct"/>
            <w:tcBorders>
              <w:top w:val="nil"/>
              <w:left w:val="nil"/>
              <w:bottom w:val="single" w:sz="4" w:space="0" w:color="auto"/>
              <w:right w:val="single" w:sz="4" w:space="0" w:color="auto"/>
            </w:tcBorders>
            <w:vAlign w:val="center"/>
          </w:tcPr>
          <w:p w14:paraId="37CE19DF" w14:textId="77777777" w:rsidR="00260726" w:rsidRDefault="00E936D8">
            <w:pPr>
              <w:widowControl/>
              <w:adjustRightInd w:val="0"/>
              <w:snapToGrid w:val="0"/>
              <w:jc w:val="left"/>
              <w:rPr>
                <w:color w:val="000000"/>
                <w:kern w:val="0"/>
                <w:sz w:val="18"/>
                <w:szCs w:val="18"/>
              </w:rPr>
            </w:pPr>
            <w:r>
              <w:rPr>
                <w:color w:val="000000"/>
                <w:kern w:val="0"/>
                <w:sz w:val="18"/>
                <w:szCs w:val="18"/>
              </w:rPr>
              <w:t>各类宣传项目</w:t>
            </w:r>
            <w:r>
              <w:rPr>
                <w:color w:val="000000"/>
                <w:kern w:val="0"/>
                <w:sz w:val="18"/>
                <w:szCs w:val="18"/>
              </w:rPr>
              <w:t>≥5</w:t>
            </w:r>
            <w:r>
              <w:rPr>
                <w:color w:val="000000"/>
                <w:kern w:val="0"/>
                <w:sz w:val="18"/>
                <w:szCs w:val="18"/>
              </w:rPr>
              <w:t>项</w:t>
            </w:r>
            <w:r>
              <w:rPr>
                <w:rFonts w:hint="eastAsia"/>
                <w:color w:val="000000"/>
                <w:kern w:val="0"/>
                <w:sz w:val="18"/>
                <w:szCs w:val="18"/>
              </w:rPr>
              <w:t>。</w:t>
            </w:r>
          </w:p>
        </w:tc>
        <w:tc>
          <w:tcPr>
            <w:tcW w:w="239" w:type="pct"/>
            <w:tcBorders>
              <w:top w:val="nil"/>
              <w:left w:val="nil"/>
              <w:bottom w:val="single" w:sz="4" w:space="0" w:color="auto"/>
              <w:right w:val="single" w:sz="4" w:space="0" w:color="auto"/>
            </w:tcBorders>
            <w:noWrap/>
            <w:vAlign w:val="center"/>
          </w:tcPr>
          <w:p w14:paraId="49D5D4BB"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r>
      <w:tr w:rsidR="00260726" w14:paraId="62DDB8AD" w14:textId="77777777">
        <w:trPr>
          <w:trHeight w:val="893"/>
        </w:trPr>
        <w:tc>
          <w:tcPr>
            <w:tcW w:w="267" w:type="pct"/>
            <w:vMerge/>
            <w:tcBorders>
              <w:top w:val="single" w:sz="4" w:space="0" w:color="auto"/>
              <w:left w:val="single" w:sz="4" w:space="0" w:color="auto"/>
              <w:bottom w:val="single" w:sz="4" w:space="0" w:color="auto"/>
              <w:right w:val="single" w:sz="4" w:space="0" w:color="auto"/>
            </w:tcBorders>
            <w:vAlign w:val="center"/>
          </w:tcPr>
          <w:p w14:paraId="1F480CF8"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71528D9E"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single" w:sz="4" w:space="0" w:color="auto"/>
              <w:bottom w:val="single" w:sz="4" w:space="0" w:color="auto"/>
              <w:right w:val="single" w:sz="4" w:space="0" w:color="auto"/>
            </w:tcBorders>
            <w:vAlign w:val="center"/>
          </w:tcPr>
          <w:p w14:paraId="18E4E4F3" w14:textId="77777777" w:rsidR="00260726" w:rsidRDefault="00E936D8">
            <w:pPr>
              <w:widowControl/>
              <w:adjustRightInd w:val="0"/>
              <w:snapToGrid w:val="0"/>
              <w:jc w:val="center"/>
              <w:rPr>
                <w:color w:val="000000"/>
                <w:kern w:val="0"/>
                <w:sz w:val="18"/>
                <w:szCs w:val="18"/>
              </w:rPr>
            </w:pPr>
            <w:r>
              <w:rPr>
                <w:color w:val="000000"/>
                <w:kern w:val="0"/>
                <w:sz w:val="18"/>
                <w:szCs w:val="18"/>
              </w:rPr>
              <w:t>持续目标监测</w:t>
            </w:r>
          </w:p>
        </w:tc>
        <w:tc>
          <w:tcPr>
            <w:tcW w:w="288" w:type="pct"/>
            <w:tcBorders>
              <w:top w:val="single" w:sz="4" w:space="0" w:color="auto"/>
              <w:left w:val="single" w:sz="4" w:space="0" w:color="auto"/>
              <w:bottom w:val="single" w:sz="4" w:space="0" w:color="auto"/>
              <w:right w:val="single" w:sz="4" w:space="0" w:color="auto"/>
            </w:tcBorders>
            <w:vAlign w:val="center"/>
          </w:tcPr>
          <w:p w14:paraId="53F0EF46" w14:textId="77777777" w:rsidR="00260726" w:rsidRDefault="00E936D8">
            <w:pPr>
              <w:widowControl/>
              <w:adjustRightInd w:val="0"/>
              <w:snapToGrid w:val="0"/>
              <w:jc w:val="center"/>
              <w:rPr>
                <w:color w:val="000000"/>
                <w:kern w:val="0"/>
                <w:sz w:val="18"/>
                <w:szCs w:val="18"/>
              </w:rPr>
            </w:pPr>
            <w:r>
              <w:rPr>
                <w:color w:val="000000"/>
                <w:kern w:val="0"/>
                <w:sz w:val="18"/>
                <w:szCs w:val="18"/>
              </w:rPr>
              <w:t>9</w:t>
            </w:r>
            <w:r>
              <w:rPr>
                <w:color w:val="000000"/>
                <w:kern w:val="0"/>
                <w:sz w:val="18"/>
                <w:szCs w:val="18"/>
              </w:rPr>
              <w:t>次</w:t>
            </w:r>
          </w:p>
        </w:tc>
        <w:tc>
          <w:tcPr>
            <w:tcW w:w="192" w:type="pct"/>
            <w:tcBorders>
              <w:top w:val="single" w:sz="4" w:space="0" w:color="auto"/>
              <w:left w:val="single" w:sz="4" w:space="0" w:color="auto"/>
              <w:bottom w:val="single" w:sz="4" w:space="0" w:color="auto"/>
              <w:right w:val="single" w:sz="4" w:space="0" w:color="auto"/>
            </w:tcBorders>
            <w:noWrap/>
            <w:vAlign w:val="center"/>
          </w:tcPr>
          <w:p w14:paraId="7BFFD0BB"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c>
          <w:tcPr>
            <w:tcW w:w="2264" w:type="pct"/>
            <w:tcBorders>
              <w:top w:val="single" w:sz="4" w:space="0" w:color="auto"/>
              <w:left w:val="single" w:sz="4" w:space="0" w:color="auto"/>
              <w:bottom w:val="single" w:sz="4" w:space="0" w:color="auto"/>
              <w:right w:val="single" w:sz="4" w:space="0" w:color="auto"/>
            </w:tcBorders>
            <w:vAlign w:val="center"/>
          </w:tcPr>
          <w:p w14:paraId="7E6CD829" w14:textId="77777777" w:rsidR="00260726" w:rsidRDefault="00E936D8">
            <w:pPr>
              <w:adjustRightInd w:val="0"/>
              <w:snapToGrid w:val="0"/>
              <w:rPr>
                <w:color w:val="000000"/>
                <w:sz w:val="18"/>
                <w:szCs w:val="18"/>
              </w:rPr>
            </w:pPr>
            <w:r>
              <w:rPr>
                <w:color w:val="000000"/>
                <w:sz w:val="18"/>
                <w:szCs w:val="18"/>
              </w:rPr>
              <w:t>建立常态化监测机制，自</w:t>
            </w:r>
            <w:r>
              <w:rPr>
                <w:color w:val="000000"/>
                <w:sz w:val="18"/>
                <w:szCs w:val="18"/>
              </w:rPr>
              <w:t>4</w:t>
            </w:r>
            <w:r>
              <w:rPr>
                <w:color w:val="000000"/>
                <w:sz w:val="18"/>
                <w:szCs w:val="18"/>
              </w:rPr>
              <w:t>月起按月监测全市人力资源和社会保障事业发展主要目标完成情况。完成得分，没完成不得分。</w:t>
            </w:r>
          </w:p>
        </w:tc>
        <w:tc>
          <w:tcPr>
            <w:tcW w:w="964" w:type="pct"/>
            <w:tcBorders>
              <w:top w:val="single" w:sz="4" w:space="0" w:color="auto"/>
              <w:left w:val="single" w:sz="4" w:space="0" w:color="auto"/>
              <w:bottom w:val="single" w:sz="4" w:space="0" w:color="auto"/>
              <w:right w:val="single" w:sz="4" w:space="0" w:color="auto"/>
            </w:tcBorders>
            <w:vAlign w:val="center"/>
          </w:tcPr>
          <w:p w14:paraId="7DCD2B46" w14:textId="77777777" w:rsidR="00260726" w:rsidRDefault="00E936D8">
            <w:pPr>
              <w:widowControl/>
              <w:adjustRightInd w:val="0"/>
              <w:snapToGrid w:val="0"/>
              <w:jc w:val="left"/>
              <w:rPr>
                <w:color w:val="000000"/>
                <w:kern w:val="0"/>
                <w:sz w:val="18"/>
                <w:szCs w:val="18"/>
              </w:rPr>
            </w:pPr>
            <w:r>
              <w:rPr>
                <w:color w:val="000000"/>
                <w:kern w:val="0"/>
                <w:sz w:val="18"/>
                <w:szCs w:val="18"/>
              </w:rPr>
              <w:t>完成</w:t>
            </w:r>
            <w:r>
              <w:rPr>
                <w:color w:val="000000"/>
                <w:kern w:val="0"/>
                <w:sz w:val="18"/>
                <w:szCs w:val="18"/>
              </w:rPr>
              <w:t>9</w:t>
            </w:r>
            <w:r>
              <w:rPr>
                <w:color w:val="000000"/>
                <w:kern w:val="0"/>
                <w:sz w:val="18"/>
                <w:szCs w:val="18"/>
              </w:rPr>
              <w:t>次</w:t>
            </w:r>
            <w:r>
              <w:rPr>
                <w:rFonts w:hint="eastAsia"/>
                <w:color w:val="000000"/>
                <w:kern w:val="0"/>
                <w:sz w:val="18"/>
                <w:szCs w:val="18"/>
              </w:rPr>
              <w:t>。</w:t>
            </w:r>
          </w:p>
        </w:tc>
        <w:tc>
          <w:tcPr>
            <w:tcW w:w="239" w:type="pct"/>
            <w:tcBorders>
              <w:top w:val="single" w:sz="4" w:space="0" w:color="auto"/>
              <w:left w:val="single" w:sz="4" w:space="0" w:color="auto"/>
              <w:bottom w:val="single" w:sz="4" w:space="0" w:color="auto"/>
              <w:right w:val="single" w:sz="4" w:space="0" w:color="auto"/>
            </w:tcBorders>
            <w:noWrap/>
            <w:vAlign w:val="center"/>
          </w:tcPr>
          <w:p w14:paraId="3CCFCDBD"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3</w:t>
            </w:r>
          </w:p>
        </w:tc>
      </w:tr>
      <w:tr w:rsidR="00260726" w14:paraId="5893881F" w14:textId="77777777">
        <w:trPr>
          <w:trHeight w:val="1083"/>
        </w:trPr>
        <w:tc>
          <w:tcPr>
            <w:tcW w:w="267" w:type="pct"/>
            <w:vMerge/>
            <w:tcBorders>
              <w:top w:val="single" w:sz="4" w:space="0" w:color="auto"/>
              <w:left w:val="single" w:sz="4" w:space="0" w:color="auto"/>
              <w:bottom w:val="single" w:sz="4" w:space="0" w:color="auto"/>
              <w:right w:val="single" w:sz="4" w:space="0" w:color="auto"/>
            </w:tcBorders>
            <w:vAlign w:val="center"/>
          </w:tcPr>
          <w:p w14:paraId="0D4637E2"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753BE293"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55DEDF20" w14:textId="77777777" w:rsidR="00260726" w:rsidRDefault="00E936D8">
            <w:pPr>
              <w:widowControl/>
              <w:adjustRightInd w:val="0"/>
              <w:snapToGrid w:val="0"/>
              <w:jc w:val="center"/>
              <w:rPr>
                <w:color w:val="000000"/>
                <w:kern w:val="0"/>
                <w:sz w:val="18"/>
                <w:szCs w:val="18"/>
              </w:rPr>
            </w:pPr>
            <w:r>
              <w:rPr>
                <w:color w:val="000000"/>
                <w:kern w:val="0"/>
                <w:sz w:val="18"/>
                <w:szCs w:val="18"/>
              </w:rPr>
              <w:t>人社政策执行效果</w:t>
            </w:r>
          </w:p>
        </w:tc>
        <w:tc>
          <w:tcPr>
            <w:tcW w:w="288" w:type="pct"/>
            <w:tcBorders>
              <w:top w:val="single" w:sz="4" w:space="0" w:color="auto"/>
              <w:left w:val="nil"/>
              <w:bottom w:val="single" w:sz="4" w:space="0" w:color="auto"/>
              <w:right w:val="single" w:sz="4" w:space="0" w:color="auto"/>
            </w:tcBorders>
            <w:vAlign w:val="center"/>
          </w:tcPr>
          <w:p w14:paraId="363A6763" w14:textId="77777777" w:rsidR="00260726" w:rsidRDefault="00E936D8">
            <w:pPr>
              <w:widowControl/>
              <w:adjustRightInd w:val="0"/>
              <w:snapToGrid w:val="0"/>
              <w:jc w:val="center"/>
              <w:rPr>
                <w:color w:val="000000"/>
                <w:kern w:val="0"/>
                <w:sz w:val="18"/>
                <w:szCs w:val="18"/>
              </w:rPr>
            </w:pPr>
            <w:r>
              <w:rPr>
                <w:color w:val="000000"/>
                <w:kern w:val="0"/>
                <w:sz w:val="18"/>
                <w:szCs w:val="18"/>
              </w:rPr>
              <w:t>明显</w:t>
            </w:r>
          </w:p>
        </w:tc>
        <w:tc>
          <w:tcPr>
            <w:tcW w:w="192" w:type="pct"/>
            <w:tcBorders>
              <w:top w:val="single" w:sz="4" w:space="0" w:color="auto"/>
              <w:left w:val="nil"/>
              <w:bottom w:val="single" w:sz="4" w:space="0" w:color="auto"/>
              <w:right w:val="single" w:sz="4" w:space="0" w:color="auto"/>
            </w:tcBorders>
            <w:noWrap/>
            <w:vAlign w:val="center"/>
          </w:tcPr>
          <w:p w14:paraId="15190436"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5</w:t>
            </w:r>
          </w:p>
        </w:tc>
        <w:tc>
          <w:tcPr>
            <w:tcW w:w="2264" w:type="pct"/>
            <w:tcBorders>
              <w:top w:val="single" w:sz="4" w:space="0" w:color="auto"/>
              <w:left w:val="nil"/>
              <w:bottom w:val="single" w:sz="4" w:space="0" w:color="auto"/>
              <w:right w:val="single" w:sz="4" w:space="0" w:color="auto"/>
            </w:tcBorders>
            <w:vAlign w:val="center"/>
          </w:tcPr>
          <w:p w14:paraId="2181B245" w14:textId="77777777" w:rsidR="00260726" w:rsidRDefault="00E936D8">
            <w:pPr>
              <w:adjustRightInd w:val="0"/>
              <w:snapToGrid w:val="0"/>
              <w:rPr>
                <w:color w:val="000000"/>
                <w:sz w:val="18"/>
                <w:szCs w:val="18"/>
              </w:rPr>
            </w:pPr>
            <w:r>
              <w:rPr>
                <w:color w:val="000000"/>
                <w:sz w:val="18"/>
                <w:szCs w:val="18"/>
              </w:rPr>
              <w:t>共涉及就业创业、人事人才、社会保障、劳动关系、人社服务</w:t>
            </w:r>
            <w:r>
              <w:rPr>
                <w:color w:val="000000"/>
                <w:sz w:val="18"/>
                <w:szCs w:val="18"/>
              </w:rPr>
              <w:t>5</w:t>
            </w:r>
            <w:r>
              <w:rPr>
                <w:color w:val="000000"/>
                <w:sz w:val="18"/>
                <w:szCs w:val="18"/>
              </w:rPr>
              <w:t>个方面，每个方面占</w:t>
            </w:r>
            <w:r>
              <w:rPr>
                <w:color w:val="000000"/>
                <w:sz w:val="18"/>
                <w:szCs w:val="18"/>
              </w:rPr>
              <w:t>1</w:t>
            </w:r>
            <w:r>
              <w:rPr>
                <w:color w:val="000000"/>
                <w:sz w:val="18"/>
                <w:szCs w:val="18"/>
              </w:rPr>
              <w:t>分。对照国家、省市各级作出</w:t>
            </w:r>
            <w:r>
              <w:rPr>
                <w:rFonts w:hint="eastAsia"/>
                <w:color w:val="000000"/>
                <w:sz w:val="18"/>
                <w:szCs w:val="18"/>
              </w:rPr>
              <w:t>的一</w:t>
            </w:r>
            <w:r>
              <w:rPr>
                <w:color w:val="000000"/>
                <w:sz w:val="18"/>
                <w:szCs w:val="18"/>
              </w:rPr>
              <w:t>系列重大决策部署和国际国内宏观形势深刻变化提出的风险挑战，分析当前工作面临的形势任务与矛盾问题定性评价。各方面效果明显得满分；有效但有待完善，得</w:t>
            </w:r>
            <w:r>
              <w:rPr>
                <w:color w:val="000000"/>
                <w:sz w:val="18"/>
                <w:szCs w:val="18"/>
              </w:rPr>
              <w:t>50%</w:t>
            </w:r>
            <w:r>
              <w:rPr>
                <w:color w:val="000000"/>
                <w:sz w:val="18"/>
                <w:szCs w:val="18"/>
              </w:rPr>
              <w:t>权重分；无效不得分。</w:t>
            </w:r>
          </w:p>
        </w:tc>
        <w:tc>
          <w:tcPr>
            <w:tcW w:w="964" w:type="pct"/>
            <w:tcBorders>
              <w:top w:val="single" w:sz="4" w:space="0" w:color="auto"/>
              <w:left w:val="nil"/>
              <w:bottom w:val="single" w:sz="4" w:space="0" w:color="auto"/>
              <w:right w:val="single" w:sz="4" w:space="0" w:color="auto"/>
            </w:tcBorders>
            <w:vAlign w:val="center"/>
          </w:tcPr>
          <w:p w14:paraId="55E673A7" w14:textId="77777777" w:rsidR="00260726" w:rsidRDefault="00E936D8">
            <w:pPr>
              <w:widowControl/>
              <w:adjustRightInd w:val="0"/>
              <w:snapToGrid w:val="0"/>
              <w:rPr>
                <w:color w:val="000000"/>
                <w:kern w:val="0"/>
                <w:sz w:val="18"/>
                <w:szCs w:val="18"/>
              </w:rPr>
            </w:pPr>
            <w:r>
              <w:rPr>
                <w:color w:val="000000"/>
                <w:kern w:val="0"/>
                <w:sz w:val="18"/>
                <w:szCs w:val="18"/>
              </w:rPr>
              <w:t>成效明显，但面临严峻的形势任务，部分政策有待完善。</w:t>
            </w:r>
          </w:p>
        </w:tc>
        <w:tc>
          <w:tcPr>
            <w:tcW w:w="239" w:type="pct"/>
            <w:tcBorders>
              <w:top w:val="single" w:sz="4" w:space="0" w:color="auto"/>
              <w:left w:val="nil"/>
              <w:bottom w:val="single" w:sz="4" w:space="0" w:color="auto"/>
              <w:right w:val="single" w:sz="4" w:space="0" w:color="auto"/>
            </w:tcBorders>
            <w:noWrap/>
            <w:vAlign w:val="center"/>
          </w:tcPr>
          <w:p w14:paraId="68AC7B4B"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2.5</w:t>
            </w:r>
          </w:p>
        </w:tc>
      </w:tr>
      <w:tr w:rsidR="00260726" w14:paraId="7AE5E74C" w14:textId="77777777">
        <w:trPr>
          <w:trHeight w:val="1191"/>
        </w:trPr>
        <w:tc>
          <w:tcPr>
            <w:tcW w:w="267" w:type="pct"/>
            <w:vMerge/>
            <w:tcBorders>
              <w:top w:val="single" w:sz="4" w:space="0" w:color="auto"/>
              <w:left w:val="single" w:sz="4" w:space="0" w:color="auto"/>
              <w:bottom w:val="single" w:sz="4" w:space="0" w:color="auto"/>
              <w:right w:val="single" w:sz="4" w:space="0" w:color="auto"/>
            </w:tcBorders>
            <w:vAlign w:val="center"/>
          </w:tcPr>
          <w:p w14:paraId="6AC5AA8B" w14:textId="77777777" w:rsidR="00260726" w:rsidRDefault="00260726">
            <w:pPr>
              <w:widowControl/>
              <w:adjustRightInd w:val="0"/>
              <w:snapToGrid w:val="0"/>
              <w:jc w:val="left"/>
              <w:rPr>
                <w:color w:val="000000"/>
                <w:kern w:val="0"/>
                <w:sz w:val="18"/>
                <w:szCs w:val="18"/>
              </w:rPr>
            </w:pPr>
          </w:p>
        </w:tc>
        <w:tc>
          <w:tcPr>
            <w:tcW w:w="299" w:type="pct"/>
            <w:vMerge/>
            <w:tcBorders>
              <w:top w:val="single" w:sz="4" w:space="0" w:color="auto"/>
              <w:left w:val="single" w:sz="4" w:space="0" w:color="auto"/>
              <w:bottom w:val="single" w:sz="4" w:space="0" w:color="auto"/>
              <w:right w:val="single" w:sz="4" w:space="0" w:color="auto"/>
            </w:tcBorders>
            <w:vAlign w:val="center"/>
          </w:tcPr>
          <w:p w14:paraId="689E09E2" w14:textId="77777777" w:rsidR="00260726" w:rsidRDefault="00260726">
            <w:pPr>
              <w:widowControl/>
              <w:adjustRightInd w:val="0"/>
              <w:snapToGrid w:val="0"/>
              <w:jc w:val="left"/>
              <w:rPr>
                <w:color w:val="000000"/>
                <w:kern w:val="0"/>
                <w:sz w:val="18"/>
                <w:szCs w:val="18"/>
              </w:rPr>
            </w:pPr>
          </w:p>
        </w:tc>
        <w:tc>
          <w:tcPr>
            <w:tcW w:w="483" w:type="pct"/>
            <w:tcBorders>
              <w:top w:val="single" w:sz="4" w:space="0" w:color="auto"/>
              <w:left w:val="nil"/>
              <w:bottom w:val="single" w:sz="4" w:space="0" w:color="auto"/>
              <w:right w:val="single" w:sz="4" w:space="0" w:color="auto"/>
            </w:tcBorders>
            <w:vAlign w:val="center"/>
          </w:tcPr>
          <w:p w14:paraId="687122B3" w14:textId="77777777" w:rsidR="00260726" w:rsidRDefault="00E936D8">
            <w:pPr>
              <w:widowControl/>
              <w:adjustRightInd w:val="0"/>
              <w:snapToGrid w:val="0"/>
              <w:jc w:val="center"/>
              <w:rPr>
                <w:color w:val="000000"/>
                <w:kern w:val="0"/>
                <w:sz w:val="18"/>
                <w:szCs w:val="18"/>
              </w:rPr>
            </w:pPr>
            <w:r>
              <w:rPr>
                <w:color w:val="000000"/>
                <w:kern w:val="0"/>
                <w:sz w:val="18"/>
                <w:szCs w:val="18"/>
              </w:rPr>
              <w:t>信息化建设情况</w:t>
            </w:r>
          </w:p>
        </w:tc>
        <w:tc>
          <w:tcPr>
            <w:tcW w:w="288" w:type="pct"/>
            <w:tcBorders>
              <w:top w:val="single" w:sz="4" w:space="0" w:color="auto"/>
              <w:left w:val="nil"/>
              <w:bottom w:val="single" w:sz="4" w:space="0" w:color="auto"/>
              <w:right w:val="single" w:sz="4" w:space="0" w:color="auto"/>
            </w:tcBorders>
            <w:vAlign w:val="center"/>
          </w:tcPr>
          <w:p w14:paraId="7E73A5F3" w14:textId="77777777" w:rsidR="00260726" w:rsidRDefault="00E936D8">
            <w:pPr>
              <w:widowControl/>
              <w:adjustRightInd w:val="0"/>
              <w:snapToGrid w:val="0"/>
              <w:jc w:val="center"/>
              <w:rPr>
                <w:color w:val="000000"/>
                <w:kern w:val="0"/>
                <w:sz w:val="18"/>
                <w:szCs w:val="18"/>
              </w:rPr>
            </w:pPr>
            <w:r>
              <w:rPr>
                <w:color w:val="000000"/>
                <w:kern w:val="0"/>
                <w:sz w:val="18"/>
                <w:szCs w:val="18"/>
              </w:rPr>
              <w:t>建立执行</w:t>
            </w:r>
          </w:p>
        </w:tc>
        <w:tc>
          <w:tcPr>
            <w:tcW w:w="192" w:type="pct"/>
            <w:tcBorders>
              <w:top w:val="single" w:sz="4" w:space="0" w:color="auto"/>
              <w:left w:val="nil"/>
              <w:bottom w:val="single" w:sz="4" w:space="0" w:color="auto"/>
              <w:right w:val="single" w:sz="4" w:space="0" w:color="auto"/>
            </w:tcBorders>
            <w:noWrap/>
            <w:vAlign w:val="center"/>
          </w:tcPr>
          <w:p w14:paraId="37100B17"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4</w:t>
            </w:r>
          </w:p>
        </w:tc>
        <w:tc>
          <w:tcPr>
            <w:tcW w:w="2264" w:type="pct"/>
            <w:tcBorders>
              <w:top w:val="single" w:sz="4" w:space="0" w:color="auto"/>
              <w:left w:val="nil"/>
              <w:bottom w:val="single" w:sz="4" w:space="0" w:color="auto"/>
              <w:right w:val="single" w:sz="4" w:space="0" w:color="auto"/>
            </w:tcBorders>
            <w:vAlign w:val="center"/>
          </w:tcPr>
          <w:p w14:paraId="4098D295" w14:textId="77777777" w:rsidR="00260726" w:rsidRDefault="00E936D8">
            <w:pPr>
              <w:adjustRightInd w:val="0"/>
              <w:snapToGrid w:val="0"/>
              <w:rPr>
                <w:color w:val="000000"/>
                <w:sz w:val="18"/>
                <w:szCs w:val="18"/>
              </w:rPr>
            </w:pPr>
            <w:r>
              <w:rPr>
                <w:color w:val="000000"/>
                <w:sz w:val="18"/>
                <w:szCs w:val="18"/>
              </w:rPr>
              <w:t>共</w:t>
            </w:r>
            <w:r>
              <w:rPr>
                <w:color w:val="000000"/>
                <w:sz w:val="18"/>
                <w:szCs w:val="18"/>
              </w:rPr>
              <w:t>2</w:t>
            </w:r>
            <w:r>
              <w:rPr>
                <w:color w:val="000000"/>
                <w:sz w:val="18"/>
                <w:szCs w:val="18"/>
              </w:rPr>
              <w:t>项，</w:t>
            </w:r>
            <w:r>
              <w:rPr>
                <w:color w:val="000000"/>
                <w:sz w:val="18"/>
                <w:szCs w:val="18"/>
              </w:rPr>
              <w:t>1.</w:t>
            </w:r>
            <w:r>
              <w:rPr>
                <w:color w:val="000000"/>
                <w:sz w:val="18"/>
                <w:szCs w:val="18"/>
              </w:rPr>
              <w:t>办公流程、内部控制等管理是否建立部门的信息系统，是否成立信息化领导小组并建立信息化机制；建立得</w:t>
            </w:r>
            <w:r>
              <w:rPr>
                <w:rFonts w:hint="eastAsia"/>
                <w:color w:val="000000"/>
                <w:sz w:val="18"/>
                <w:szCs w:val="18"/>
              </w:rPr>
              <w:t>1</w:t>
            </w:r>
            <w:r>
              <w:rPr>
                <w:color w:val="000000"/>
                <w:sz w:val="18"/>
                <w:szCs w:val="18"/>
              </w:rPr>
              <w:t>分，未建立不得分。</w:t>
            </w:r>
            <w:r>
              <w:rPr>
                <w:color w:val="000000"/>
                <w:sz w:val="18"/>
                <w:szCs w:val="18"/>
              </w:rPr>
              <w:t>2.</w:t>
            </w:r>
            <w:r>
              <w:rPr>
                <w:color w:val="000000"/>
                <w:sz w:val="18"/>
                <w:szCs w:val="18"/>
              </w:rPr>
              <w:t>信息系统是否有效运行，有效得</w:t>
            </w:r>
            <w:r>
              <w:rPr>
                <w:rFonts w:hint="eastAsia"/>
                <w:color w:val="000000"/>
                <w:sz w:val="18"/>
                <w:szCs w:val="18"/>
              </w:rPr>
              <w:t>2</w:t>
            </w:r>
            <w:r>
              <w:rPr>
                <w:color w:val="000000"/>
                <w:sz w:val="18"/>
                <w:szCs w:val="18"/>
              </w:rPr>
              <w:t>分，无效或未建立不得分。</w:t>
            </w:r>
          </w:p>
        </w:tc>
        <w:tc>
          <w:tcPr>
            <w:tcW w:w="964" w:type="pct"/>
            <w:tcBorders>
              <w:top w:val="single" w:sz="4" w:space="0" w:color="auto"/>
              <w:left w:val="nil"/>
              <w:bottom w:val="single" w:sz="4" w:space="0" w:color="auto"/>
              <w:right w:val="single" w:sz="4" w:space="0" w:color="auto"/>
            </w:tcBorders>
            <w:vAlign w:val="center"/>
          </w:tcPr>
          <w:p w14:paraId="52CF5B64" w14:textId="77777777" w:rsidR="00260726" w:rsidRDefault="00E936D8">
            <w:pPr>
              <w:widowControl/>
              <w:adjustRightInd w:val="0"/>
              <w:snapToGrid w:val="0"/>
              <w:jc w:val="left"/>
              <w:rPr>
                <w:color w:val="000000"/>
                <w:kern w:val="0"/>
                <w:sz w:val="18"/>
                <w:szCs w:val="18"/>
              </w:rPr>
            </w:pPr>
            <w:r>
              <w:rPr>
                <w:color w:val="000000"/>
                <w:kern w:val="0"/>
                <w:sz w:val="18"/>
                <w:szCs w:val="18"/>
              </w:rPr>
              <w:t>办公流程、内部控制等管理建立部门的信息系统，成立信息化领导小组并建立信息化机制。</w:t>
            </w:r>
          </w:p>
        </w:tc>
        <w:tc>
          <w:tcPr>
            <w:tcW w:w="239" w:type="pct"/>
            <w:tcBorders>
              <w:top w:val="single" w:sz="4" w:space="0" w:color="auto"/>
              <w:left w:val="nil"/>
              <w:bottom w:val="single" w:sz="4" w:space="0" w:color="auto"/>
              <w:right w:val="single" w:sz="4" w:space="0" w:color="auto"/>
            </w:tcBorders>
            <w:noWrap/>
            <w:vAlign w:val="center"/>
          </w:tcPr>
          <w:p w14:paraId="7CF92FF2" w14:textId="77777777" w:rsidR="00260726" w:rsidRDefault="00E936D8">
            <w:pPr>
              <w:widowControl/>
              <w:adjustRightInd w:val="0"/>
              <w:snapToGrid w:val="0"/>
              <w:jc w:val="center"/>
              <w:rPr>
                <w:color w:val="000000"/>
                <w:kern w:val="0"/>
                <w:sz w:val="18"/>
                <w:szCs w:val="18"/>
              </w:rPr>
            </w:pPr>
            <w:r>
              <w:rPr>
                <w:color w:val="000000"/>
                <w:kern w:val="0"/>
                <w:sz w:val="18"/>
                <w:szCs w:val="18"/>
              </w:rPr>
              <w:t>3</w:t>
            </w:r>
          </w:p>
        </w:tc>
      </w:tr>
      <w:tr w:rsidR="00260726" w14:paraId="629C0FA2" w14:textId="77777777">
        <w:trPr>
          <w:trHeight w:val="1247"/>
        </w:trPr>
        <w:tc>
          <w:tcPr>
            <w:tcW w:w="267" w:type="pct"/>
            <w:tcBorders>
              <w:top w:val="single" w:sz="4" w:space="0" w:color="auto"/>
              <w:left w:val="single" w:sz="4" w:space="0" w:color="auto"/>
              <w:bottom w:val="single" w:sz="4" w:space="0" w:color="auto"/>
              <w:right w:val="single" w:sz="4" w:space="0" w:color="auto"/>
            </w:tcBorders>
            <w:vAlign w:val="center"/>
          </w:tcPr>
          <w:p w14:paraId="02982888" w14:textId="77777777" w:rsidR="00260726" w:rsidRDefault="00E936D8">
            <w:pPr>
              <w:widowControl/>
              <w:adjustRightInd w:val="0"/>
              <w:snapToGrid w:val="0"/>
              <w:jc w:val="center"/>
              <w:rPr>
                <w:color w:val="000000"/>
                <w:kern w:val="0"/>
                <w:sz w:val="18"/>
                <w:szCs w:val="18"/>
              </w:rPr>
            </w:pPr>
            <w:r>
              <w:rPr>
                <w:color w:val="000000"/>
                <w:kern w:val="0"/>
                <w:sz w:val="18"/>
                <w:szCs w:val="18"/>
              </w:rPr>
              <w:t>满意度</w:t>
            </w:r>
          </w:p>
        </w:tc>
        <w:tc>
          <w:tcPr>
            <w:tcW w:w="299" w:type="pct"/>
            <w:tcBorders>
              <w:top w:val="single" w:sz="4" w:space="0" w:color="auto"/>
              <w:left w:val="single" w:sz="4" w:space="0" w:color="auto"/>
              <w:bottom w:val="single" w:sz="4" w:space="0" w:color="auto"/>
              <w:right w:val="single" w:sz="4" w:space="0" w:color="auto"/>
            </w:tcBorders>
            <w:vAlign w:val="center"/>
          </w:tcPr>
          <w:p w14:paraId="1A4EACB5" w14:textId="77777777" w:rsidR="00260726" w:rsidRDefault="00E936D8">
            <w:pPr>
              <w:widowControl/>
              <w:adjustRightInd w:val="0"/>
              <w:snapToGrid w:val="0"/>
              <w:jc w:val="center"/>
              <w:rPr>
                <w:color w:val="000000"/>
                <w:kern w:val="0"/>
                <w:sz w:val="18"/>
                <w:szCs w:val="18"/>
              </w:rPr>
            </w:pPr>
            <w:r>
              <w:rPr>
                <w:color w:val="000000"/>
                <w:kern w:val="0"/>
                <w:sz w:val="18"/>
                <w:szCs w:val="18"/>
              </w:rPr>
              <w:t>服务对象满意度</w:t>
            </w:r>
          </w:p>
        </w:tc>
        <w:tc>
          <w:tcPr>
            <w:tcW w:w="483" w:type="pct"/>
            <w:tcBorders>
              <w:top w:val="nil"/>
              <w:left w:val="nil"/>
              <w:bottom w:val="single" w:sz="4" w:space="0" w:color="auto"/>
              <w:right w:val="single" w:sz="4" w:space="0" w:color="auto"/>
            </w:tcBorders>
            <w:vAlign w:val="center"/>
          </w:tcPr>
          <w:p w14:paraId="73DED054"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人社政务服务好评率</w:t>
            </w:r>
          </w:p>
        </w:tc>
        <w:tc>
          <w:tcPr>
            <w:tcW w:w="288" w:type="pct"/>
            <w:tcBorders>
              <w:top w:val="nil"/>
              <w:left w:val="nil"/>
              <w:bottom w:val="single" w:sz="4" w:space="0" w:color="auto"/>
              <w:right w:val="single" w:sz="4" w:space="0" w:color="auto"/>
            </w:tcBorders>
            <w:vAlign w:val="center"/>
          </w:tcPr>
          <w:p w14:paraId="025585CB"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97</w:t>
            </w:r>
            <w:r>
              <w:rPr>
                <w:color w:val="000000"/>
                <w:kern w:val="0"/>
                <w:sz w:val="18"/>
                <w:szCs w:val="18"/>
              </w:rPr>
              <w:t>%</w:t>
            </w:r>
          </w:p>
        </w:tc>
        <w:tc>
          <w:tcPr>
            <w:tcW w:w="192" w:type="pct"/>
            <w:tcBorders>
              <w:top w:val="nil"/>
              <w:left w:val="nil"/>
              <w:bottom w:val="single" w:sz="4" w:space="0" w:color="auto"/>
              <w:right w:val="single" w:sz="4" w:space="0" w:color="auto"/>
            </w:tcBorders>
            <w:noWrap/>
            <w:vAlign w:val="center"/>
          </w:tcPr>
          <w:p w14:paraId="5832A53E" w14:textId="77777777" w:rsidR="00260726" w:rsidRDefault="00E936D8">
            <w:pPr>
              <w:widowControl/>
              <w:adjustRightInd w:val="0"/>
              <w:snapToGrid w:val="0"/>
              <w:jc w:val="center"/>
              <w:rPr>
                <w:color w:val="000000"/>
                <w:kern w:val="0"/>
                <w:sz w:val="18"/>
                <w:szCs w:val="18"/>
              </w:rPr>
            </w:pPr>
            <w:r>
              <w:rPr>
                <w:color w:val="000000"/>
                <w:kern w:val="0"/>
                <w:sz w:val="18"/>
                <w:szCs w:val="18"/>
              </w:rPr>
              <w:t>4</w:t>
            </w:r>
          </w:p>
        </w:tc>
        <w:tc>
          <w:tcPr>
            <w:tcW w:w="2264" w:type="pct"/>
            <w:tcBorders>
              <w:top w:val="nil"/>
              <w:left w:val="nil"/>
              <w:bottom w:val="single" w:sz="4" w:space="0" w:color="auto"/>
              <w:right w:val="single" w:sz="4" w:space="0" w:color="auto"/>
            </w:tcBorders>
            <w:vAlign w:val="center"/>
          </w:tcPr>
          <w:p w14:paraId="26496511" w14:textId="77777777" w:rsidR="00260726" w:rsidRDefault="00E936D8">
            <w:pPr>
              <w:adjustRightInd w:val="0"/>
              <w:snapToGrid w:val="0"/>
              <w:rPr>
                <w:color w:val="000000"/>
                <w:sz w:val="18"/>
                <w:szCs w:val="18"/>
              </w:rPr>
            </w:pPr>
            <w:r>
              <w:rPr>
                <w:color w:val="000000"/>
                <w:sz w:val="18"/>
                <w:szCs w:val="18"/>
              </w:rPr>
              <w:t>按照人社政务服务好差评机制，评价等级为</w:t>
            </w:r>
            <w:r>
              <w:rPr>
                <w:color w:val="000000"/>
                <w:sz w:val="18"/>
                <w:szCs w:val="18"/>
              </w:rPr>
              <w:t>“</w:t>
            </w:r>
            <w:r>
              <w:rPr>
                <w:color w:val="000000"/>
                <w:sz w:val="18"/>
                <w:szCs w:val="18"/>
              </w:rPr>
              <w:t>很好</w:t>
            </w:r>
            <w:r>
              <w:rPr>
                <w:color w:val="000000"/>
                <w:sz w:val="18"/>
                <w:szCs w:val="18"/>
              </w:rPr>
              <w:t>”“</w:t>
            </w:r>
            <w:r>
              <w:rPr>
                <w:color w:val="000000"/>
                <w:sz w:val="18"/>
                <w:szCs w:val="18"/>
              </w:rPr>
              <w:t>好</w:t>
            </w:r>
            <w:r>
              <w:rPr>
                <w:color w:val="000000"/>
                <w:sz w:val="18"/>
                <w:szCs w:val="18"/>
              </w:rPr>
              <w:t>”“</w:t>
            </w:r>
            <w:r>
              <w:rPr>
                <w:color w:val="000000"/>
                <w:sz w:val="18"/>
                <w:szCs w:val="18"/>
              </w:rPr>
              <w:t>一般</w:t>
            </w:r>
            <w:r>
              <w:rPr>
                <w:color w:val="000000"/>
                <w:sz w:val="18"/>
                <w:szCs w:val="18"/>
              </w:rPr>
              <w:t>”</w:t>
            </w:r>
            <w:r>
              <w:rPr>
                <w:color w:val="000000"/>
                <w:sz w:val="18"/>
                <w:szCs w:val="18"/>
              </w:rPr>
              <w:t>或</w:t>
            </w:r>
            <w:r>
              <w:rPr>
                <w:color w:val="000000"/>
                <w:sz w:val="18"/>
                <w:szCs w:val="18"/>
              </w:rPr>
              <w:t>“</w:t>
            </w:r>
            <w:r>
              <w:rPr>
                <w:color w:val="000000"/>
                <w:sz w:val="18"/>
                <w:szCs w:val="18"/>
              </w:rPr>
              <w:t>非常满意</w:t>
            </w:r>
            <w:r>
              <w:rPr>
                <w:color w:val="000000"/>
                <w:sz w:val="18"/>
                <w:szCs w:val="18"/>
              </w:rPr>
              <w:t>”“</w:t>
            </w:r>
            <w:r>
              <w:rPr>
                <w:color w:val="000000"/>
                <w:sz w:val="18"/>
                <w:szCs w:val="18"/>
              </w:rPr>
              <w:t>满意</w:t>
            </w:r>
            <w:r>
              <w:rPr>
                <w:color w:val="000000"/>
                <w:sz w:val="18"/>
                <w:szCs w:val="18"/>
              </w:rPr>
              <w:t>”“</w:t>
            </w:r>
            <w:r>
              <w:rPr>
                <w:color w:val="000000"/>
                <w:sz w:val="18"/>
                <w:szCs w:val="18"/>
              </w:rPr>
              <w:t>基本满意</w:t>
            </w:r>
            <w:r>
              <w:rPr>
                <w:color w:val="000000"/>
                <w:sz w:val="18"/>
                <w:szCs w:val="18"/>
              </w:rPr>
              <w:t>”</w:t>
            </w:r>
            <w:r>
              <w:rPr>
                <w:color w:val="000000"/>
                <w:sz w:val="18"/>
                <w:szCs w:val="18"/>
              </w:rPr>
              <w:t>等三类评价数占总评价数的比例。结果得分</w:t>
            </w:r>
            <w:r>
              <w:rPr>
                <w:color w:val="000000"/>
                <w:sz w:val="18"/>
                <w:szCs w:val="18"/>
              </w:rPr>
              <w:t>=</w:t>
            </w:r>
            <w:r>
              <w:rPr>
                <w:color w:val="000000"/>
                <w:sz w:val="18"/>
                <w:szCs w:val="18"/>
              </w:rPr>
              <w:t>满意度结果比例</w:t>
            </w:r>
            <w:r>
              <w:rPr>
                <w:color w:val="000000"/>
                <w:sz w:val="18"/>
                <w:szCs w:val="18"/>
              </w:rPr>
              <w:t>*</w:t>
            </w:r>
            <w:r>
              <w:rPr>
                <w:color w:val="000000"/>
                <w:sz w:val="18"/>
                <w:szCs w:val="18"/>
              </w:rPr>
              <w:t>指标权重分。</w:t>
            </w:r>
          </w:p>
        </w:tc>
        <w:tc>
          <w:tcPr>
            <w:tcW w:w="964" w:type="pct"/>
            <w:tcBorders>
              <w:top w:val="nil"/>
              <w:left w:val="nil"/>
              <w:bottom w:val="single" w:sz="4" w:space="0" w:color="auto"/>
              <w:right w:val="single" w:sz="4" w:space="0" w:color="auto"/>
            </w:tcBorders>
            <w:vAlign w:val="center"/>
          </w:tcPr>
          <w:p w14:paraId="35EC6E5B" w14:textId="77777777" w:rsidR="00260726" w:rsidRDefault="00E936D8">
            <w:pPr>
              <w:widowControl/>
              <w:adjustRightInd w:val="0"/>
              <w:snapToGrid w:val="0"/>
              <w:jc w:val="left"/>
              <w:rPr>
                <w:color w:val="000000"/>
                <w:kern w:val="0"/>
                <w:sz w:val="18"/>
                <w:szCs w:val="18"/>
              </w:rPr>
            </w:pPr>
            <w:r>
              <w:rPr>
                <w:color w:val="000000"/>
                <w:kern w:val="0"/>
                <w:sz w:val="18"/>
                <w:szCs w:val="18"/>
              </w:rPr>
              <w:t>达到</w:t>
            </w:r>
            <w:r>
              <w:rPr>
                <w:color w:val="000000"/>
                <w:kern w:val="0"/>
                <w:sz w:val="18"/>
                <w:szCs w:val="18"/>
              </w:rPr>
              <w:t>99.9</w:t>
            </w:r>
            <w:r>
              <w:rPr>
                <w:rFonts w:hint="eastAsia"/>
                <w:color w:val="000000"/>
                <w:kern w:val="0"/>
                <w:sz w:val="18"/>
                <w:szCs w:val="18"/>
              </w:rPr>
              <w:t>8</w:t>
            </w:r>
            <w:r>
              <w:rPr>
                <w:color w:val="000000"/>
                <w:kern w:val="0"/>
                <w:sz w:val="18"/>
                <w:szCs w:val="18"/>
              </w:rPr>
              <w:t>%</w:t>
            </w:r>
            <w:r>
              <w:rPr>
                <w:color w:val="000000"/>
                <w:kern w:val="0"/>
                <w:sz w:val="18"/>
                <w:szCs w:val="18"/>
              </w:rPr>
              <w:t>。</w:t>
            </w:r>
          </w:p>
        </w:tc>
        <w:tc>
          <w:tcPr>
            <w:tcW w:w="239" w:type="pct"/>
            <w:tcBorders>
              <w:top w:val="nil"/>
              <w:left w:val="nil"/>
              <w:bottom w:val="single" w:sz="4" w:space="0" w:color="auto"/>
              <w:right w:val="single" w:sz="4" w:space="0" w:color="auto"/>
            </w:tcBorders>
            <w:noWrap/>
            <w:vAlign w:val="center"/>
          </w:tcPr>
          <w:p w14:paraId="2C05413B" w14:textId="77777777" w:rsidR="00260726" w:rsidRDefault="00E936D8">
            <w:pPr>
              <w:widowControl/>
              <w:adjustRightInd w:val="0"/>
              <w:snapToGrid w:val="0"/>
              <w:jc w:val="center"/>
              <w:rPr>
                <w:color w:val="000000"/>
                <w:kern w:val="0"/>
                <w:sz w:val="18"/>
                <w:szCs w:val="18"/>
              </w:rPr>
            </w:pPr>
            <w:r>
              <w:rPr>
                <w:rFonts w:hint="eastAsia"/>
                <w:color w:val="000000"/>
                <w:kern w:val="0"/>
                <w:sz w:val="18"/>
                <w:szCs w:val="18"/>
              </w:rPr>
              <w:t>5</w:t>
            </w:r>
          </w:p>
        </w:tc>
      </w:tr>
      <w:tr w:rsidR="00260726" w14:paraId="08C57D31" w14:textId="77777777">
        <w:trPr>
          <w:trHeight w:val="794"/>
        </w:trPr>
        <w:tc>
          <w:tcPr>
            <w:tcW w:w="1338" w:type="pct"/>
            <w:gridSpan w:val="4"/>
            <w:tcBorders>
              <w:top w:val="single" w:sz="4" w:space="0" w:color="auto"/>
              <w:left w:val="single" w:sz="4" w:space="0" w:color="auto"/>
              <w:bottom w:val="single" w:sz="4" w:space="0" w:color="auto"/>
              <w:right w:val="single" w:sz="4" w:space="0" w:color="auto"/>
            </w:tcBorders>
            <w:vAlign w:val="center"/>
          </w:tcPr>
          <w:p w14:paraId="41D4E26A" w14:textId="77777777" w:rsidR="00260726" w:rsidRDefault="00E936D8">
            <w:pPr>
              <w:widowControl/>
              <w:adjustRightInd w:val="0"/>
              <w:snapToGrid w:val="0"/>
              <w:jc w:val="center"/>
              <w:rPr>
                <w:color w:val="000000"/>
                <w:kern w:val="0"/>
                <w:sz w:val="18"/>
                <w:szCs w:val="18"/>
              </w:rPr>
            </w:pPr>
            <w:r>
              <w:rPr>
                <w:color w:val="000000"/>
                <w:kern w:val="0"/>
                <w:sz w:val="18"/>
                <w:szCs w:val="18"/>
              </w:rPr>
              <w:t>合计</w:t>
            </w:r>
          </w:p>
        </w:tc>
        <w:tc>
          <w:tcPr>
            <w:tcW w:w="192" w:type="pct"/>
            <w:tcBorders>
              <w:top w:val="nil"/>
              <w:left w:val="nil"/>
              <w:bottom w:val="single" w:sz="4" w:space="0" w:color="auto"/>
              <w:right w:val="single" w:sz="4" w:space="0" w:color="auto"/>
            </w:tcBorders>
            <w:noWrap/>
            <w:vAlign w:val="center"/>
          </w:tcPr>
          <w:p w14:paraId="40D15918" w14:textId="77777777" w:rsidR="00260726" w:rsidRDefault="00E936D8">
            <w:pPr>
              <w:widowControl/>
              <w:adjustRightInd w:val="0"/>
              <w:snapToGrid w:val="0"/>
              <w:jc w:val="center"/>
              <w:rPr>
                <w:color w:val="000000"/>
                <w:kern w:val="0"/>
                <w:sz w:val="18"/>
                <w:szCs w:val="18"/>
              </w:rPr>
            </w:pPr>
            <w:r>
              <w:rPr>
                <w:color w:val="000000"/>
                <w:kern w:val="0"/>
                <w:sz w:val="18"/>
                <w:szCs w:val="18"/>
              </w:rPr>
              <w:t>100</w:t>
            </w:r>
          </w:p>
        </w:tc>
        <w:tc>
          <w:tcPr>
            <w:tcW w:w="2264" w:type="pct"/>
            <w:tcBorders>
              <w:top w:val="nil"/>
              <w:left w:val="nil"/>
              <w:bottom w:val="single" w:sz="4" w:space="0" w:color="auto"/>
              <w:right w:val="single" w:sz="4" w:space="0" w:color="auto"/>
            </w:tcBorders>
            <w:noWrap/>
            <w:vAlign w:val="center"/>
          </w:tcPr>
          <w:p w14:paraId="6D8E256D" w14:textId="77777777" w:rsidR="00260726" w:rsidRDefault="00E936D8">
            <w:pPr>
              <w:widowControl/>
              <w:adjustRightInd w:val="0"/>
              <w:snapToGrid w:val="0"/>
              <w:jc w:val="left"/>
              <w:rPr>
                <w:color w:val="000000"/>
                <w:kern w:val="0"/>
                <w:sz w:val="18"/>
                <w:szCs w:val="18"/>
              </w:rPr>
            </w:pPr>
            <w:r>
              <w:rPr>
                <w:color w:val="000000"/>
                <w:kern w:val="0"/>
                <w:sz w:val="18"/>
                <w:szCs w:val="18"/>
              </w:rPr>
              <w:t xml:space="preserve">　</w:t>
            </w:r>
          </w:p>
        </w:tc>
        <w:tc>
          <w:tcPr>
            <w:tcW w:w="964" w:type="pct"/>
            <w:tcBorders>
              <w:top w:val="nil"/>
              <w:left w:val="nil"/>
              <w:bottom w:val="single" w:sz="4" w:space="0" w:color="auto"/>
              <w:right w:val="single" w:sz="4" w:space="0" w:color="auto"/>
            </w:tcBorders>
            <w:vAlign w:val="center"/>
          </w:tcPr>
          <w:p w14:paraId="58A4F73D" w14:textId="77777777" w:rsidR="00260726" w:rsidRDefault="00E936D8">
            <w:pPr>
              <w:widowControl/>
              <w:adjustRightInd w:val="0"/>
              <w:snapToGrid w:val="0"/>
              <w:jc w:val="left"/>
              <w:rPr>
                <w:color w:val="000000"/>
                <w:kern w:val="0"/>
                <w:sz w:val="18"/>
                <w:szCs w:val="18"/>
              </w:rPr>
            </w:pPr>
            <w:r>
              <w:rPr>
                <w:color w:val="000000"/>
                <w:kern w:val="0"/>
                <w:sz w:val="18"/>
                <w:szCs w:val="18"/>
              </w:rPr>
              <w:t xml:space="preserve">　</w:t>
            </w:r>
          </w:p>
        </w:tc>
        <w:tc>
          <w:tcPr>
            <w:tcW w:w="239" w:type="pct"/>
            <w:tcBorders>
              <w:top w:val="nil"/>
              <w:left w:val="nil"/>
              <w:bottom w:val="single" w:sz="4" w:space="0" w:color="auto"/>
              <w:right w:val="single" w:sz="4" w:space="0" w:color="auto"/>
            </w:tcBorders>
            <w:noWrap/>
            <w:vAlign w:val="center"/>
          </w:tcPr>
          <w:p w14:paraId="143E1A84" w14:textId="77777777" w:rsidR="00260726" w:rsidRDefault="00E936D8">
            <w:pPr>
              <w:widowControl/>
              <w:adjustRightInd w:val="0"/>
              <w:snapToGrid w:val="0"/>
              <w:jc w:val="center"/>
              <w:rPr>
                <w:color w:val="000000"/>
                <w:kern w:val="0"/>
                <w:sz w:val="18"/>
                <w:szCs w:val="18"/>
              </w:rPr>
            </w:pPr>
            <w:r>
              <w:rPr>
                <w:color w:val="000000"/>
                <w:kern w:val="0"/>
                <w:sz w:val="18"/>
                <w:szCs w:val="18"/>
              </w:rPr>
              <w:t>9</w:t>
            </w:r>
            <w:r>
              <w:rPr>
                <w:rFonts w:hint="eastAsia"/>
                <w:color w:val="000000"/>
                <w:kern w:val="0"/>
                <w:sz w:val="18"/>
                <w:szCs w:val="18"/>
              </w:rPr>
              <w:t>7.2</w:t>
            </w:r>
          </w:p>
        </w:tc>
      </w:tr>
    </w:tbl>
    <w:p w14:paraId="0224225D" w14:textId="77777777" w:rsidR="00260726" w:rsidRDefault="00260726">
      <w:pPr>
        <w:pStyle w:val="aa"/>
        <w:adjustRightInd w:val="0"/>
        <w:snapToGrid w:val="0"/>
        <w:spacing w:line="300" w:lineRule="auto"/>
        <w:ind w:firstLineChars="0" w:firstLine="0"/>
        <w:rPr>
          <w:rFonts w:eastAsia="仿宋"/>
        </w:rPr>
      </w:pPr>
    </w:p>
    <w:p w14:paraId="4B84CCAB" w14:textId="77777777" w:rsidR="00260726" w:rsidRDefault="00260726">
      <w:pPr>
        <w:pStyle w:val="aa"/>
        <w:adjustRightInd w:val="0"/>
        <w:snapToGrid w:val="0"/>
        <w:spacing w:line="300" w:lineRule="auto"/>
        <w:ind w:firstLineChars="0" w:firstLine="0"/>
        <w:rPr>
          <w:rFonts w:eastAsia="仿宋"/>
        </w:rPr>
      </w:pPr>
    </w:p>
    <w:sectPr w:rsidR="00260726">
      <w:pgSz w:w="16838" w:h="11906" w:orient="landscape"/>
      <w:pgMar w:top="1701" w:right="1440" w:bottom="1701" w:left="144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3DF47" w14:textId="77777777" w:rsidR="00456854" w:rsidRDefault="00456854">
      <w:r>
        <w:separator/>
      </w:r>
    </w:p>
  </w:endnote>
  <w:endnote w:type="continuationSeparator" w:id="0">
    <w:p w14:paraId="7E612DBB" w14:textId="77777777" w:rsidR="00456854" w:rsidRDefault="0045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183D4" w14:textId="11B323F1" w:rsidR="00260726" w:rsidRDefault="00E936D8">
    <w:pPr>
      <w:pStyle w:val="a6"/>
      <w:jc w:val="center"/>
      <w:rPr>
        <w:sz w:val="28"/>
        <w:szCs w:val="28"/>
      </w:rPr>
    </w:pPr>
    <w:r>
      <w:rPr>
        <w:sz w:val="28"/>
        <w:szCs w:val="28"/>
      </w:rPr>
      <w:t>—</w:t>
    </w:r>
    <w:r w:rsidR="002E1FC7">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6368A0" w:rsidRPr="006368A0">
      <w:rPr>
        <w:noProof/>
        <w:sz w:val="28"/>
        <w:szCs w:val="28"/>
        <w:lang w:val="zh-CN"/>
      </w:rPr>
      <w:t>21</w:t>
    </w:r>
    <w:r>
      <w:rPr>
        <w:sz w:val="28"/>
        <w:szCs w:val="28"/>
      </w:rPr>
      <w:fldChar w:fldCharType="end"/>
    </w:r>
    <w:r w:rsidR="002E1FC7">
      <w:rPr>
        <w:sz w:val="28"/>
        <w:szCs w:val="28"/>
      </w:rPr>
      <w:t xml:space="preserve"> </w:t>
    </w:r>
    <w:r>
      <w:rPr>
        <w:sz w:val="28"/>
        <w:szCs w:val="28"/>
      </w:rPr>
      <w:t>—</w:t>
    </w:r>
  </w:p>
  <w:p w14:paraId="73082FC3" w14:textId="77777777" w:rsidR="00260726" w:rsidRDefault="002607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C95B2" w14:textId="77777777" w:rsidR="00456854" w:rsidRDefault="00456854">
      <w:r>
        <w:separator/>
      </w:r>
    </w:p>
  </w:footnote>
  <w:footnote w:type="continuationSeparator" w:id="0">
    <w:p w14:paraId="049AED88" w14:textId="77777777" w:rsidR="00456854" w:rsidRDefault="00456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kZTU5ZjA3NThkMzNjZmQ4YmNiMTIzZWJjNTMzNjEifQ=="/>
  </w:docVars>
  <w:rsids>
    <w:rsidRoot w:val="00172A27"/>
    <w:rsid w:val="0000533F"/>
    <w:rsid w:val="0003068D"/>
    <w:rsid w:val="00042649"/>
    <w:rsid w:val="000447EF"/>
    <w:rsid w:val="0005131A"/>
    <w:rsid w:val="00052C5B"/>
    <w:rsid w:val="00053DCE"/>
    <w:rsid w:val="00056D33"/>
    <w:rsid w:val="000671E8"/>
    <w:rsid w:val="000708F0"/>
    <w:rsid w:val="000812AF"/>
    <w:rsid w:val="00084449"/>
    <w:rsid w:val="00084622"/>
    <w:rsid w:val="00093490"/>
    <w:rsid w:val="00095DCD"/>
    <w:rsid w:val="000C0847"/>
    <w:rsid w:val="000E54B7"/>
    <w:rsid w:val="000F188C"/>
    <w:rsid w:val="00124433"/>
    <w:rsid w:val="00124DB6"/>
    <w:rsid w:val="00136890"/>
    <w:rsid w:val="00147C6B"/>
    <w:rsid w:val="00151E39"/>
    <w:rsid w:val="00172A27"/>
    <w:rsid w:val="00191449"/>
    <w:rsid w:val="001A02ED"/>
    <w:rsid w:val="001A2C20"/>
    <w:rsid w:val="001A349A"/>
    <w:rsid w:val="001A3ABC"/>
    <w:rsid w:val="001A4D5F"/>
    <w:rsid w:val="001D1572"/>
    <w:rsid w:val="001D39C9"/>
    <w:rsid w:val="001D651A"/>
    <w:rsid w:val="00203B21"/>
    <w:rsid w:val="00207691"/>
    <w:rsid w:val="0022389B"/>
    <w:rsid w:val="00227438"/>
    <w:rsid w:val="00233968"/>
    <w:rsid w:val="00241C61"/>
    <w:rsid w:val="002435B4"/>
    <w:rsid w:val="00257795"/>
    <w:rsid w:val="00260726"/>
    <w:rsid w:val="00262A92"/>
    <w:rsid w:val="00286A61"/>
    <w:rsid w:val="002B6335"/>
    <w:rsid w:val="002E1FC7"/>
    <w:rsid w:val="002E7481"/>
    <w:rsid w:val="002F1A82"/>
    <w:rsid w:val="0030125C"/>
    <w:rsid w:val="00303C73"/>
    <w:rsid w:val="00314F5D"/>
    <w:rsid w:val="0032346B"/>
    <w:rsid w:val="0032575E"/>
    <w:rsid w:val="00331FB1"/>
    <w:rsid w:val="00355D14"/>
    <w:rsid w:val="00362E19"/>
    <w:rsid w:val="0037117E"/>
    <w:rsid w:val="003747EC"/>
    <w:rsid w:val="00375B46"/>
    <w:rsid w:val="00377198"/>
    <w:rsid w:val="00383764"/>
    <w:rsid w:val="003939D5"/>
    <w:rsid w:val="00394404"/>
    <w:rsid w:val="003962CD"/>
    <w:rsid w:val="003A570F"/>
    <w:rsid w:val="003B572D"/>
    <w:rsid w:val="003C121F"/>
    <w:rsid w:val="003D5F25"/>
    <w:rsid w:val="003E1567"/>
    <w:rsid w:val="003E692D"/>
    <w:rsid w:val="003F5E1C"/>
    <w:rsid w:val="00407F36"/>
    <w:rsid w:val="00422C50"/>
    <w:rsid w:val="00436820"/>
    <w:rsid w:val="004525E1"/>
    <w:rsid w:val="00456854"/>
    <w:rsid w:val="004644CB"/>
    <w:rsid w:val="00480E7B"/>
    <w:rsid w:val="0048697D"/>
    <w:rsid w:val="00487D75"/>
    <w:rsid w:val="00491B6A"/>
    <w:rsid w:val="00496B23"/>
    <w:rsid w:val="004C23B5"/>
    <w:rsid w:val="004C3314"/>
    <w:rsid w:val="004E0092"/>
    <w:rsid w:val="0050020B"/>
    <w:rsid w:val="0050088A"/>
    <w:rsid w:val="00516831"/>
    <w:rsid w:val="00524060"/>
    <w:rsid w:val="00524075"/>
    <w:rsid w:val="00525C01"/>
    <w:rsid w:val="005306E5"/>
    <w:rsid w:val="00561CA7"/>
    <w:rsid w:val="005637CB"/>
    <w:rsid w:val="00576014"/>
    <w:rsid w:val="00587533"/>
    <w:rsid w:val="00592A96"/>
    <w:rsid w:val="00593ECC"/>
    <w:rsid w:val="00597541"/>
    <w:rsid w:val="005C1FA6"/>
    <w:rsid w:val="005C44FB"/>
    <w:rsid w:val="005C61CA"/>
    <w:rsid w:val="005D16F3"/>
    <w:rsid w:val="005D2837"/>
    <w:rsid w:val="005E0AD3"/>
    <w:rsid w:val="00610475"/>
    <w:rsid w:val="006124F6"/>
    <w:rsid w:val="0061261B"/>
    <w:rsid w:val="006249D5"/>
    <w:rsid w:val="006368A0"/>
    <w:rsid w:val="006539BF"/>
    <w:rsid w:val="00654D23"/>
    <w:rsid w:val="00654DF8"/>
    <w:rsid w:val="00667149"/>
    <w:rsid w:val="00670D62"/>
    <w:rsid w:val="0067275A"/>
    <w:rsid w:val="00673643"/>
    <w:rsid w:val="00684AA4"/>
    <w:rsid w:val="00690E76"/>
    <w:rsid w:val="00691735"/>
    <w:rsid w:val="00692DEF"/>
    <w:rsid w:val="006D5004"/>
    <w:rsid w:val="006F1393"/>
    <w:rsid w:val="006F1CCC"/>
    <w:rsid w:val="006F65E6"/>
    <w:rsid w:val="006F6F1C"/>
    <w:rsid w:val="007038DC"/>
    <w:rsid w:val="007041A7"/>
    <w:rsid w:val="00714442"/>
    <w:rsid w:val="007353DC"/>
    <w:rsid w:val="007523A5"/>
    <w:rsid w:val="007610F6"/>
    <w:rsid w:val="00770D8D"/>
    <w:rsid w:val="00772E6D"/>
    <w:rsid w:val="00773D34"/>
    <w:rsid w:val="00780B65"/>
    <w:rsid w:val="007A2472"/>
    <w:rsid w:val="007A7388"/>
    <w:rsid w:val="007B3054"/>
    <w:rsid w:val="007C1B12"/>
    <w:rsid w:val="007C2029"/>
    <w:rsid w:val="007C40CF"/>
    <w:rsid w:val="007C5BD4"/>
    <w:rsid w:val="007C7E75"/>
    <w:rsid w:val="007D7DBB"/>
    <w:rsid w:val="007E1AFF"/>
    <w:rsid w:val="00804EE3"/>
    <w:rsid w:val="00823A82"/>
    <w:rsid w:val="00825250"/>
    <w:rsid w:val="008271B0"/>
    <w:rsid w:val="00841963"/>
    <w:rsid w:val="008470FF"/>
    <w:rsid w:val="00847359"/>
    <w:rsid w:val="00850AAB"/>
    <w:rsid w:val="0085752A"/>
    <w:rsid w:val="008662B6"/>
    <w:rsid w:val="008716C4"/>
    <w:rsid w:val="00871A0C"/>
    <w:rsid w:val="00875DB7"/>
    <w:rsid w:val="00885D1A"/>
    <w:rsid w:val="008926CB"/>
    <w:rsid w:val="008B2C7C"/>
    <w:rsid w:val="008B7EA7"/>
    <w:rsid w:val="008F0332"/>
    <w:rsid w:val="00903B12"/>
    <w:rsid w:val="00904339"/>
    <w:rsid w:val="00912505"/>
    <w:rsid w:val="00922BD7"/>
    <w:rsid w:val="0094581B"/>
    <w:rsid w:val="0095649D"/>
    <w:rsid w:val="009630B5"/>
    <w:rsid w:val="00970175"/>
    <w:rsid w:val="00976083"/>
    <w:rsid w:val="009778D0"/>
    <w:rsid w:val="009A7F4F"/>
    <w:rsid w:val="009B1E7E"/>
    <w:rsid w:val="009E2397"/>
    <w:rsid w:val="009E735C"/>
    <w:rsid w:val="009F545C"/>
    <w:rsid w:val="00A101B2"/>
    <w:rsid w:val="00A1740B"/>
    <w:rsid w:val="00A2135B"/>
    <w:rsid w:val="00A2362D"/>
    <w:rsid w:val="00A238C7"/>
    <w:rsid w:val="00A44D9D"/>
    <w:rsid w:val="00A5222E"/>
    <w:rsid w:val="00A55562"/>
    <w:rsid w:val="00A56FF4"/>
    <w:rsid w:val="00A610D3"/>
    <w:rsid w:val="00A71CCA"/>
    <w:rsid w:val="00A812B5"/>
    <w:rsid w:val="00A85DEE"/>
    <w:rsid w:val="00A864A7"/>
    <w:rsid w:val="00AC3DA2"/>
    <w:rsid w:val="00AD1211"/>
    <w:rsid w:val="00AE5AC9"/>
    <w:rsid w:val="00AF26A9"/>
    <w:rsid w:val="00AF6D54"/>
    <w:rsid w:val="00B00BEC"/>
    <w:rsid w:val="00B07FE2"/>
    <w:rsid w:val="00B1370F"/>
    <w:rsid w:val="00B376BA"/>
    <w:rsid w:val="00B60025"/>
    <w:rsid w:val="00B73FD7"/>
    <w:rsid w:val="00B90CBC"/>
    <w:rsid w:val="00BA3001"/>
    <w:rsid w:val="00BA59C7"/>
    <w:rsid w:val="00BB4F96"/>
    <w:rsid w:val="00BB5BBA"/>
    <w:rsid w:val="00BB7413"/>
    <w:rsid w:val="00BB7DE4"/>
    <w:rsid w:val="00BC2D05"/>
    <w:rsid w:val="00BC4167"/>
    <w:rsid w:val="00BD2143"/>
    <w:rsid w:val="00BE14C0"/>
    <w:rsid w:val="00BF0F9E"/>
    <w:rsid w:val="00C1169F"/>
    <w:rsid w:val="00C12605"/>
    <w:rsid w:val="00C13179"/>
    <w:rsid w:val="00C17FE7"/>
    <w:rsid w:val="00C262F2"/>
    <w:rsid w:val="00C322AE"/>
    <w:rsid w:val="00C41EE2"/>
    <w:rsid w:val="00C5422C"/>
    <w:rsid w:val="00C670A2"/>
    <w:rsid w:val="00C702C1"/>
    <w:rsid w:val="00C919FE"/>
    <w:rsid w:val="00C93FA9"/>
    <w:rsid w:val="00CB43A5"/>
    <w:rsid w:val="00CD76D8"/>
    <w:rsid w:val="00CE6F7A"/>
    <w:rsid w:val="00CF3493"/>
    <w:rsid w:val="00D400E8"/>
    <w:rsid w:val="00D523FE"/>
    <w:rsid w:val="00D5441A"/>
    <w:rsid w:val="00D80C53"/>
    <w:rsid w:val="00D848AD"/>
    <w:rsid w:val="00D96C17"/>
    <w:rsid w:val="00DA3724"/>
    <w:rsid w:val="00DB457D"/>
    <w:rsid w:val="00DE0AE0"/>
    <w:rsid w:val="00DF0631"/>
    <w:rsid w:val="00DF0AB0"/>
    <w:rsid w:val="00E020A7"/>
    <w:rsid w:val="00E13486"/>
    <w:rsid w:val="00E21BA2"/>
    <w:rsid w:val="00E465AE"/>
    <w:rsid w:val="00E6392A"/>
    <w:rsid w:val="00E75214"/>
    <w:rsid w:val="00E936D8"/>
    <w:rsid w:val="00EA0BB1"/>
    <w:rsid w:val="00EA4FC3"/>
    <w:rsid w:val="00ED0E75"/>
    <w:rsid w:val="00ED4E20"/>
    <w:rsid w:val="00ED6482"/>
    <w:rsid w:val="00ED7B89"/>
    <w:rsid w:val="00EE7CFF"/>
    <w:rsid w:val="00EF77F7"/>
    <w:rsid w:val="00EF7800"/>
    <w:rsid w:val="00F0329F"/>
    <w:rsid w:val="00F03DC4"/>
    <w:rsid w:val="00F1068C"/>
    <w:rsid w:val="00F151F3"/>
    <w:rsid w:val="00F2071A"/>
    <w:rsid w:val="00F31397"/>
    <w:rsid w:val="00F337A6"/>
    <w:rsid w:val="00F469AC"/>
    <w:rsid w:val="00F54F77"/>
    <w:rsid w:val="00F6085E"/>
    <w:rsid w:val="00F61198"/>
    <w:rsid w:val="00F831F4"/>
    <w:rsid w:val="00F94E18"/>
    <w:rsid w:val="00FA0AE5"/>
    <w:rsid w:val="00FD2333"/>
    <w:rsid w:val="00FD25B2"/>
    <w:rsid w:val="00FF7396"/>
    <w:rsid w:val="02E5725D"/>
    <w:rsid w:val="034C7CAB"/>
    <w:rsid w:val="05D76EF2"/>
    <w:rsid w:val="09AA3D68"/>
    <w:rsid w:val="09B356A7"/>
    <w:rsid w:val="0BC909F8"/>
    <w:rsid w:val="0E754D63"/>
    <w:rsid w:val="0EF951F1"/>
    <w:rsid w:val="0FED248D"/>
    <w:rsid w:val="10DA5B18"/>
    <w:rsid w:val="140E20B3"/>
    <w:rsid w:val="15B62BED"/>
    <w:rsid w:val="1C740EFB"/>
    <w:rsid w:val="1C89778E"/>
    <w:rsid w:val="216B08FE"/>
    <w:rsid w:val="224E3432"/>
    <w:rsid w:val="246A0F18"/>
    <w:rsid w:val="2A384401"/>
    <w:rsid w:val="2A564CF0"/>
    <w:rsid w:val="2A77613D"/>
    <w:rsid w:val="2D0464A8"/>
    <w:rsid w:val="32133721"/>
    <w:rsid w:val="32E7407C"/>
    <w:rsid w:val="3387692D"/>
    <w:rsid w:val="36105698"/>
    <w:rsid w:val="36294E7E"/>
    <w:rsid w:val="36CB500A"/>
    <w:rsid w:val="37710A72"/>
    <w:rsid w:val="3A7461F5"/>
    <w:rsid w:val="3A8F1D77"/>
    <w:rsid w:val="3BF5780A"/>
    <w:rsid w:val="400C4B76"/>
    <w:rsid w:val="42111E62"/>
    <w:rsid w:val="42411284"/>
    <w:rsid w:val="432509D4"/>
    <w:rsid w:val="44C674B1"/>
    <w:rsid w:val="48BB7806"/>
    <w:rsid w:val="4F2013CF"/>
    <w:rsid w:val="54A2120E"/>
    <w:rsid w:val="54BC0090"/>
    <w:rsid w:val="574C50B5"/>
    <w:rsid w:val="57C0752E"/>
    <w:rsid w:val="587A4EC7"/>
    <w:rsid w:val="59783975"/>
    <w:rsid w:val="5ABA1A39"/>
    <w:rsid w:val="5B3E08C9"/>
    <w:rsid w:val="5D123920"/>
    <w:rsid w:val="5F1F1842"/>
    <w:rsid w:val="61FC694D"/>
    <w:rsid w:val="65C91434"/>
    <w:rsid w:val="66603EDD"/>
    <w:rsid w:val="67901C4F"/>
    <w:rsid w:val="683C3F47"/>
    <w:rsid w:val="70D34D1C"/>
    <w:rsid w:val="74CF767D"/>
    <w:rsid w:val="7716300B"/>
    <w:rsid w:val="77F01B9F"/>
    <w:rsid w:val="77F7310A"/>
    <w:rsid w:val="787F3229"/>
    <w:rsid w:val="78DD01EA"/>
    <w:rsid w:val="7A37456E"/>
    <w:rsid w:val="7A993CB5"/>
    <w:rsid w:val="7FD8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287052"/>
  <w15:docId w15:val="{7BE63294-6E3C-4F37-8D0B-B768464F1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2">
    <w:name w:val="heading 2"/>
    <w:basedOn w:val="a"/>
    <w:next w:val="a"/>
    <w:link w:val="20"/>
    <w:autoRedefine/>
    <w:uiPriority w:val="9"/>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unhideWhenUsed/>
    <w:qFormat/>
    <w:pPr>
      <w:jc w:val="left"/>
    </w:pPr>
  </w:style>
  <w:style w:type="paragraph" w:styleId="a4">
    <w:name w:val="Balloon Text"/>
    <w:basedOn w:val="a"/>
    <w:link w:val="a5"/>
    <w:autoRedefine/>
    <w:uiPriority w:val="99"/>
    <w:unhideWhenUsed/>
    <w:qFormat/>
    <w:rPr>
      <w:rFonts w:ascii="Calibri" w:hAnsi="Calibri"/>
      <w:sz w:val="18"/>
      <w:szCs w:val="18"/>
    </w:rPr>
  </w:style>
  <w:style w:type="paragraph" w:styleId="a6">
    <w:name w:val="footer"/>
    <w:basedOn w:val="a"/>
    <w:link w:val="a7"/>
    <w:autoRedefine/>
    <w:uiPriority w:val="99"/>
    <w:qFormat/>
    <w:pPr>
      <w:tabs>
        <w:tab w:val="center" w:pos="4153"/>
        <w:tab w:val="right" w:pos="8306"/>
      </w:tabs>
      <w:snapToGrid w:val="0"/>
      <w:jc w:val="left"/>
    </w:pPr>
    <w:rPr>
      <w:sz w:val="18"/>
    </w:rPr>
  </w:style>
  <w:style w:type="paragraph" w:styleId="a8">
    <w:name w:val="header"/>
    <w:basedOn w:val="a"/>
    <w:link w:val="a9"/>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20">
    <w:name w:val="标题 2 字符"/>
    <w:link w:val="2"/>
    <w:autoRedefine/>
    <w:uiPriority w:val="9"/>
    <w:semiHidden/>
    <w:qFormat/>
    <w:rPr>
      <w:rFonts w:ascii="Cambria" w:eastAsia="宋体" w:hAnsi="Cambria" w:cs="Times New Roman"/>
      <w:b/>
      <w:bCs/>
      <w:kern w:val="2"/>
      <w:sz w:val="32"/>
      <w:szCs w:val="32"/>
    </w:rPr>
  </w:style>
  <w:style w:type="character" w:customStyle="1" w:styleId="a5">
    <w:name w:val="批注框文本 字符"/>
    <w:link w:val="a4"/>
    <w:autoRedefine/>
    <w:uiPriority w:val="99"/>
    <w:semiHidden/>
    <w:qFormat/>
    <w:rPr>
      <w:rFonts w:ascii="Calibri" w:eastAsia="宋体" w:hAnsi="Calibri" w:cs="Times New Roman"/>
      <w:kern w:val="2"/>
      <w:sz w:val="18"/>
      <w:szCs w:val="18"/>
    </w:rPr>
  </w:style>
  <w:style w:type="character" w:customStyle="1" w:styleId="a7">
    <w:name w:val="页脚 字符"/>
    <w:link w:val="a6"/>
    <w:autoRedefine/>
    <w:uiPriority w:val="99"/>
    <w:qFormat/>
    <w:rPr>
      <w:kern w:val="2"/>
      <w:sz w:val="18"/>
    </w:rPr>
  </w:style>
  <w:style w:type="character" w:customStyle="1" w:styleId="a9">
    <w:name w:val="页眉 字符"/>
    <w:link w:val="a8"/>
    <w:autoRedefine/>
    <w:uiPriority w:val="99"/>
    <w:qFormat/>
    <w:rPr>
      <w:kern w:val="2"/>
      <w:sz w:val="18"/>
    </w:rPr>
  </w:style>
  <w:style w:type="character" w:customStyle="1" w:styleId="Char">
    <w:name w:val="闻政正文 Char"/>
    <w:link w:val="aa"/>
    <w:autoRedefine/>
    <w:qFormat/>
    <w:rPr>
      <w:rFonts w:eastAsia="仿宋_GB2312"/>
      <w:sz w:val="28"/>
      <w:szCs w:val="28"/>
    </w:rPr>
  </w:style>
  <w:style w:type="paragraph" w:customStyle="1" w:styleId="aa">
    <w:name w:val="闻政正文"/>
    <w:basedOn w:val="a"/>
    <w:link w:val="Char"/>
    <w:autoRedefine/>
    <w:qFormat/>
    <w:pPr>
      <w:spacing w:line="500" w:lineRule="exact"/>
      <w:ind w:firstLineChars="200" w:firstLine="560"/>
    </w:pPr>
    <w:rPr>
      <w:rFonts w:eastAsia="仿宋_GB2312"/>
      <w:kern w:val="0"/>
      <w:sz w:val="28"/>
      <w:szCs w:val="28"/>
    </w:rPr>
  </w:style>
  <w:style w:type="character" w:customStyle="1" w:styleId="6Char">
    <w:name w:val="闻政标题6 Char"/>
    <w:link w:val="6"/>
    <w:autoRedefine/>
    <w:qFormat/>
    <w:rPr>
      <w:rFonts w:eastAsia="仿宋_GB2312"/>
      <w:b/>
      <w:color w:val="000000"/>
      <w:sz w:val="28"/>
      <w:szCs w:val="28"/>
    </w:rPr>
  </w:style>
  <w:style w:type="paragraph" w:customStyle="1" w:styleId="6">
    <w:name w:val="闻政标题6"/>
    <w:basedOn w:val="aa"/>
    <w:link w:val="6Char"/>
    <w:autoRedefine/>
    <w:qFormat/>
    <w:pPr>
      <w:ind w:firstLine="562"/>
    </w:pPr>
    <w:rPr>
      <w:b/>
      <w:color w:val="000000"/>
    </w:rPr>
  </w:style>
  <w:style w:type="character" w:customStyle="1" w:styleId="font31">
    <w:name w:val="font31"/>
    <w:autoRedefine/>
    <w:qFormat/>
    <w:rPr>
      <w:rFonts w:ascii="Times New Roman" w:hAnsi="Times New Roman" w:cs="Times New Roman" w:hint="default"/>
      <w:b/>
      <w:color w:val="000000"/>
      <w:sz w:val="22"/>
      <w:szCs w:val="22"/>
      <w:u w:val="none"/>
    </w:rPr>
  </w:style>
  <w:style w:type="character" w:customStyle="1" w:styleId="Char0">
    <w:name w:val="闻政表 Char"/>
    <w:link w:val="ab"/>
    <w:autoRedefine/>
    <w:qFormat/>
    <w:rPr>
      <w:rFonts w:eastAsia="仿宋_GB2312"/>
      <w:b/>
      <w:sz w:val="24"/>
      <w:szCs w:val="28"/>
    </w:rPr>
  </w:style>
  <w:style w:type="paragraph" w:customStyle="1" w:styleId="ab">
    <w:name w:val="闻政表"/>
    <w:basedOn w:val="a"/>
    <w:link w:val="Char0"/>
    <w:autoRedefine/>
    <w:qFormat/>
    <w:pPr>
      <w:spacing w:before="60" w:after="60"/>
      <w:jc w:val="center"/>
    </w:pPr>
    <w:rPr>
      <w:rFonts w:eastAsia="仿宋_GB2312"/>
      <w:b/>
      <w:kern w:val="0"/>
      <w:sz w:val="24"/>
      <w:szCs w:val="28"/>
    </w:rPr>
  </w:style>
  <w:style w:type="character" w:customStyle="1" w:styleId="5Char">
    <w:name w:val="闻政标题5 Char"/>
    <w:link w:val="5"/>
    <w:autoRedefine/>
    <w:qFormat/>
    <w:rPr>
      <w:rFonts w:eastAsia="仿宋_GB2312"/>
      <w:b/>
      <w:sz w:val="28"/>
      <w:szCs w:val="28"/>
    </w:rPr>
  </w:style>
  <w:style w:type="paragraph" w:customStyle="1" w:styleId="5">
    <w:name w:val="闻政标题5"/>
    <w:basedOn w:val="a"/>
    <w:link w:val="5Char"/>
    <w:autoRedefine/>
    <w:qFormat/>
    <w:pPr>
      <w:spacing w:before="120" w:after="60" w:line="500" w:lineRule="exact"/>
      <w:ind w:firstLineChars="200" w:firstLine="200"/>
      <w:outlineLvl w:val="2"/>
    </w:pPr>
    <w:rPr>
      <w:rFonts w:eastAsia="仿宋_GB2312"/>
      <w:b/>
      <w:kern w:val="0"/>
      <w:sz w:val="28"/>
      <w:szCs w:val="28"/>
    </w:rPr>
  </w:style>
  <w:style w:type="character" w:customStyle="1" w:styleId="NormalCharacter">
    <w:name w:val="NormalCharacter"/>
    <w:autoRedefine/>
    <w:qFormat/>
  </w:style>
  <w:style w:type="paragraph" w:styleId="ac">
    <w:name w:val="No Spacing"/>
    <w:autoRedefine/>
    <w:uiPriority w:val="1"/>
    <w:qFormat/>
    <w:pPr>
      <w:widowControl w:val="0"/>
      <w:jc w:val="both"/>
    </w:pPr>
    <w:rPr>
      <w:kern w:val="2"/>
      <w:sz w:val="21"/>
      <w:szCs w:val="22"/>
    </w:rPr>
  </w:style>
  <w:style w:type="character" w:customStyle="1" w:styleId="4Char">
    <w:name w:val="闻政标题4 Char"/>
    <w:link w:val="4"/>
    <w:autoRedefine/>
    <w:qFormat/>
    <w:rPr>
      <w:rFonts w:eastAsia="仿宋_GB2312"/>
      <w:b/>
      <w:bCs/>
      <w:sz w:val="28"/>
      <w:szCs w:val="32"/>
    </w:rPr>
  </w:style>
  <w:style w:type="paragraph" w:customStyle="1" w:styleId="4">
    <w:name w:val="闻政标题4"/>
    <w:basedOn w:val="2"/>
    <w:link w:val="4Char"/>
    <w:autoRedefine/>
    <w:qFormat/>
    <w:pPr>
      <w:spacing w:before="120" w:after="60" w:line="500" w:lineRule="exact"/>
      <w:ind w:firstLineChars="200" w:firstLine="200"/>
      <w:jc w:val="left"/>
    </w:pPr>
    <w:rPr>
      <w:rFonts w:ascii="Times New Roman" w:eastAsia="仿宋_GB2312" w:hAnsi="Times New Roman"/>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21</Pages>
  <Words>2155</Words>
  <Characters>12284</Characters>
  <Application>Microsoft Office Word</Application>
  <DocSecurity>0</DocSecurity>
  <Lines>102</Lines>
  <Paragraphs>28</Paragraphs>
  <ScaleCrop>false</ScaleCrop>
  <Company>微软中国</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周明</dc:creator>
  <cp:lastModifiedBy>Micorosoft</cp:lastModifiedBy>
  <cp:revision>9</cp:revision>
  <cp:lastPrinted>2023-06-02T07:12:00Z</cp:lastPrinted>
  <dcterms:created xsi:type="dcterms:W3CDTF">2023-06-02T07:30:00Z</dcterms:created>
  <dcterms:modified xsi:type="dcterms:W3CDTF">2025-09-17T06:55:00Z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E74F621D641F478C8439CB876493631C</vt:lpwstr>
  </property>
  <property fmtid="{D5CDD505-2E9C-101B-9397-08002B2CF9AE}" pid="4" name="KSOTemplateDocerSaveRecord">
    <vt:lpwstr>eyJoZGlkIjoiMTZkZTU5ZjA3NThkMzNjZmQ4YmNiMTIzZWJjNTMzNjEiLCJ1c2VySWQiOiIxNzE0MDc3NjIifQ==</vt:lpwstr>
  </property>
</Properties>
</file>