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61" w:afterLines="50" w:line="600" w:lineRule="exact"/>
        <w:jc w:val="center"/>
        <w:textAlignment w:val="auto"/>
        <w:rPr>
          <w:rFonts w:ascii="方正小标宋_GBK" w:eastAsia="方正小标宋_GBK" w:cs="华文中宋" w:hAnsiTheme="minorEastAsia"/>
          <w:b/>
          <w:sz w:val="44"/>
          <w:szCs w:val="44"/>
        </w:rPr>
      </w:pPr>
      <w:r>
        <w:rPr>
          <w:rFonts w:hint="eastAsia" w:ascii="方正小标宋_GBK" w:eastAsia="方正小标宋_GBK" w:cs="华文中宋" w:hAnsiTheme="minorEastAsia"/>
          <w:b/>
          <w:sz w:val="44"/>
          <w:szCs w:val="44"/>
        </w:rPr>
        <w:t>关于参保职工中止缴纳社会保险费的通知</w:t>
      </w:r>
    </w:p>
    <w:p>
      <w:pPr>
        <w:spacing w:after="161" w:afterLines="50" w:line="280" w:lineRule="exact"/>
        <w:jc w:val="center"/>
        <w:rPr>
          <w:rFonts w:ascii="仿宋" w:hAnsi="仿宋" w:eastAsia="仿宋"/>
          <w:sz w:val="36"/>
          <w:szCs w:val="36"/>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为贯彻落实养老保险关系转移接续相关政策，保障职工按时享受社会保险待遇，根据《关于转发人力资源社会保障部</w:t>
      </w:r>
      <w:r>
        <w:rPr>
          <w:rFonts w:ascii="仿宋" w:hAnsi="仿宋" w:eastAsia="仿宋"/>
          <w:sz w:val="32"/>
          <w:szCs w:val="32"/>
        </w:rPr>
        <w:t xml:space="preserve"> </w:t>
      </w:r>
      <w:r>
        <w:rPr>
          <w:rFonts w:hint="eastAsia" w:ascii="仿宋" w:hAnsi="仿宋" w:eastAsia="仿宋"/>
          <w:sz w:val="32"/>
          <w:szCs w:val="32"/>
        </w:rPr>
        <w:t>财政部城镇企业职工基本养老保险关系转移接续暂行办法的通知》（国办发〔</w:t>
      </w:r>
      <w:r>
        <w:rPr>
          <w:rFonts w:ascii="仿宋" w:hAnsi="仿宋" w:eastAsia="仿宋"/>
          <w:sz w:val="32"/>
          <w:szCs w:val="32"/>
        </w:rPr>
        <w:t>2009</w:t>
      </w:r>
      <w:r>
        <w:rPr>
          <w:rFonts w:hint="eastAsia" w:ascii="仿宋" w:hAnsi="仿宋" w:eastAsia="仿宋"/>
          <w:sz w:val="32"/>
          <w:szCs w:val="32"/>
        </w:rPr>
        <w:t>〕</w:t>
      </w:r>
      <w:r>
        <w:rPr>
          <w:rFonts w:ascii="仿宋" w:hAnsi="仿宋" w:eastAsia="仿宋"/>
          <w:sz w:val="32"/>
          <w:szCs w:val="32"/>
        </w:rPr>
        <w:t>66</w:t>
      </w:r>
      <w:r>
        <w:rPr>
          <w:rFonts w:hint="eastAsia" w:ascii="仿宋" w:hAnsi="仿宋" w:eastAsia="仿宋"/>
          <w:sz w:val="32"/>
          <w:szCs w:val="32"/>
        </w:rPr>
        <w:t>号）等规定，对即将到达法定退休年龄，非我市户籍，且在我市养老保险缴费年限不满</w:t>
      </w:r>
      <w:r>
        <w:rPr>
          <w:rFonts w:ascii="仿宋" w:hAnsi="仿宋" w:eastAsia="仿宋"/>
          <w:sz w:val="32"/>
          <w:szCs w:val="32"/>
        </w:rPr>
        <w:t>10</w:t>
      </w:r>
      <w:r>
        <w:rPr>
          <w:rFonts w:hint="eastAsia" w:ascii="仿宋" w:hAnsi="仿宋" w:eastAsia="仿宋"/>
          <w:sz w:val="32"/>
          <w:szCs w:val="32"/>
        </w:rPr>
        <w:t>年的人员，在我市的社保关系将予中止。相关人员信息见附件，请用人单位及时为其办理养老保险关系中止并通知本人办理转移手续。</w:t>
      </w:r>
    </w:p>
    <w:p>
      <w:pPr>
        <w:spacing w:line="560" w:lineRule="exact"/>
        <w:ind w:firstLine="630"/>
        <w:rPr>
          <w:rFonts w:ascii="仿宋" w:hAnsi="仿宋" w:eastAsia="仿宋"/>
          <w:sz w:val="32"/>
          <w:szCs w:val="32"/>
        </w:rPr>
      </w:pPr>
      <w:r>
        <w:rPr>
          <w:rFonts w:hint="eastAsia" w:ascii="仿宋" w:hAnsi="仿宋" w:eastAsia="仿宋"/>
          <w:sz w:val="32"/>
          <w:szCs w:val="32"/>
        </w:rPr>
        <w:t>特此通知。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附</w:t>
      </w:r>
      <w:r>
        <w:rPr>
          <w:rFonts w:ascii="仿宋" w:hAnsi="仿宋" w:eastAsia="仿宋"/>
          <w:sz w:val="32"/>
          <w:szCs w:val="32"/>
        </w:rPr>
        <w:t>1</w:t>
      </w:r>
      <w:r>
        <w:rPr>
          <w:rFonts w:hint="eastAsia" w:ascii="仿宋" w:hAnsi="仿宋" w:eastAsia="仿宋"/>
          <w:sz w:val="32"/>
          <w:szCs w:val="32"/>
        </w:rPr>
        <w:t>：相关人员信息表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附</w:t>
      </w:r>
      <w:r>
        <w:rPr>
          <w:rFonts w:ascii="仿宋" w:hAnsi="仿宋" w:eastAsia="仿宋"/>
          <w:sz w:val="32"/>
          <w:szCs w:val="32"/>
        </w:rPr>
        <w:t>2</w:t>
      </w:r>
      <w:r>
        <w:rPr>
          <w:rFonts w:hint="eastAsia" w:ascii="仿宋" w:hAnsi="仿宋" w:eastAsia="仿宋"/>
          <w:sz w:val="32"/>
          <w:szCs w:val="32"/>
        </w:rPr>
        <w:t>：国家和省相关政策规定</w:t>
      </w:r>
      <w:bookmarkStart w:id="0" w:name="_GoBack"/>
      <w:bookmarkEnd w:id="0"/>
    </w:p>
    <w:p>
      <w:pPr>
        <w:spacing w:line="560" w:lineRule="exact"/>
        <w:ind w:firstLine="4960" w:firstLineChars="1550"/>
        <w:rPr>
          <w:rFonts w:ascii="仿宋" w:hAnsi="仿宋" w:eastAsia="仿宋"/>
          <w:sz w:val="32"/>
          <w:szCs w:val="32"/>
        </w:rPr>
      </w:pPr>
    </w:p>
    <w:p>
      <w:pPr>
        <w:spacing w:line="560" w:lineRule="exact"/>
        <w:ind w:firstLine="4960" w:firstLineChars="1550"/>
        <w:rPr>
          <w:rFonts w:ascii="仿宋" w:hAnsi="仿宋" w:eastAsia="仿宋"/>
          <w:sz w:val="32"/>
          <w:szCs w:val="32"/>
        </w:rPr>
      </w:pPr>
    </w:p>
    <w:p>
      <w:pPr>
        <w:spacing w:line="560" w:lineRule="exact"/>
        <w:ind w:firstLine="4960" w:firstLineChars="1550"/>
        <w:rPr>
          <w:rFonts w:ascii="仿宋" w:hAnsi="仿宋" w:eastAsia="仿宋"/>
          <w:sz w:val="32"/>
          <w:szCs w:val="32"/>
        </w:rPr>
      </w:pPr>
    </w:p>
    <w:p>
      <w:pPr>
        <w:spacing w:line="560" w:lineRule="exact"/>
        <w:ind w:firstLine="4960" w:firstLineChars="1550"/>
        <w:rPr>
          <w:rFonts w:ascii="仿宋" w:hAnsi="仿宋" w:eastAsia="仿宋"/>
          <w:sz w:val="32"/>
          <w:szCs w:val="32"/>
        </w:rPr>
      </w:pPr>
    </w:p>
    <w:p>
      <w:pPr>
        <w:spacing w:line="560" w:lineRule="exact"/>
        <w:ind w:firstLine="4960" w:firstLineChars="1550"/>
        <w:rPr>
          <w:rFonts w:ascii="仿宋" w:hAnsi="仿宋" w:eastAsia="仿宋"/>
          <w:sz w:val="32"/>
          <w:szCs w:val="32"/>
        </w:rPr>
      </w:pPr>
    </w:p>
    <w:p>
      <w:pPr>
        <w:spacing w:line="560" w:lineRule="exact"/>
        <w:rPr>
          <w:rFonts w:ascii="仿宋" w:hAnsi="仿宋" w:eastAsia="仿宋"/>
          <w:sz w:val="32"/>
          <w:szCs w:val="32"/>
        </w:rPr>
      </w:pPr>
    </w:p>
    <w:p>
      <w:pPr>
        <w:spacing w:line="560" w:lineRule="exact"/>
        <w:ind w:firstLine="4960" w:firstLineChars="1550"/>
        <w:rPr>
          <w:rFonts w:ascii="仿宋" w:hAnsi="仿宋" w:eastAsia="仿宋"/>
          <w:sz w:val="32"/>
          <w:szCs w:val="32"/>
        </w:rPr>
      </w:pPr>
      <w:r>
        <w:rPr>
          <w:rFonts w:hint="eastAsia" w:ascii="仿宋" w:hAnsi="仿宋" w:eastAsia="仿宋"/>
          <w:sz w:val="32"/>
          <w:szCs w:val="32"/>
        </w:rPr>
        <w:t>南京市社会保险管理中心</w:t>
      </w:r>
    </w:p>
    <w:p>
      <w:pPr>
        <w:spacing w:line="560" w:lineRule="exact"/>
        <w:ind w:firstLine="5600" w:firstLineChars="1750"/>
        <w:rPr>
          <w:rFonts w:ascii="仿宋" w:hAnsi="仿宋" w:eastAsia="仿宋"/>
          <w:sz w:val="32"/>
          <w:szCs w:val="32"/>
        </w:rPr>
      </w:pPr>
      <w:r>
        <w:rPr>
          <w:rFonts w:ascii="仿宋" w:hAnsi="仿宋" w:eastAsia="仿宋"/>
          <w:sz w:val="32"/>
          <w:szCs w:val="32"/>
        </w:rPr>
        <w:t>2025</w:t>
      </w:r>
      <w:r>
        <w:rPr>
          <w:rFonts w:hint="eastAsia" w:ascii="仿宋" w:hAnsi="仿宋" w:eastAsia="仿宋"/>
          <w:sz w:val="32"/>
          <w:szCs w:val="32"/>
        </w:rPr>
        <w:t xml:space="preserve">年7月28日 </w:t>
      </w:r>
    </w:p>
    <w:p>
      <w:pPr>
        <w:spacing w:line="560" w:lineRule="exact"/>
        <w:ind w:firstLine="5600" w:firstLineChars="1750"/>
        <w:rPr>
          <w:rFonts w:ascii="方正仿宋_GBK" w:eastAsia="方正仿宋_GBK"/>
          <w:sz w:val="32"/>
          <w:szCs w:val="32"/>
        </w:rPr>
      </w:pPr>
    </w:p>
    <w:p>
      <w:pPr>
        <w:spacing w:line="560" w:lineRule="exact"/>
        <w:ind w:firstLine="5600" w:firstLineChars="1750"/>
        <w:rPr>
          <w:rFonts w:ascii="方正仿宋_GBK" w:eastAsia="方正仿宋_GBK"/>
          <w:sz w:val="32"/>
          <w:szCs w:val="32"/>
        </w:rPr>
      </w:pP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hint="eastAsia" w:ascii="仿宋" w:hAnsi="仿宋" w:eastAsia="仿宋"/>
          <w:sz w:val="32"/>
          <w:szCs w:val="32"/>
        </w:rPr>
      </w:pPr>
    </w:p>
    <w:p>
      <w:pPr>
        <w:spacing w:line="560" w:lineRule="exact"/>
        <w:rPr>
          <w:rFonts w:ascii="方正仿宋_GBK" w:eastAsia="方正仿宋_GBK"/>
          <w:sz w:val="32"/>
          <w:szCs w:val="32"/>
        </w:rPr>
      </w:pPr>
      <w:r>
        <w:rPr>
          <w:rFonts w:hint="eastAsia" w:ascii="仿宋" w:hAnsi="仿宋" w:eastAsia="仿宋"/>
          <w:sz w:val="32"/>
          <w:szCs w:val="32"/>
        </w:rPr>
        <w:t>附</w:t>
      </w:r>
      <w:r>
        <w:rPr>
          <w:rFonts w:ascii="仿宋" w:hAnsi="仿宋" w:eastAsia="仿宋"/>
          <w:sz w:val="32"/>
          <w:szCs w:val="32"/>
        </w:rPr>
        <w:t>1</w:t>
      </w:r>
      <w:r>
        <w:rPr>
          <w:rFonts w:hint="eastAsia" w:ascii="仿宋" w:hAnsi="仿宋" w:eastAsia="仿宋"/>
          <w:sz w:val="32"/>
          <w:szCs w:val="32"/>
        </w:rPr>
        <w:t>：相关人员信息表</w:t>
      </w:r>
    </w:p>
    <w:tbl>
      <w:tblPr>
        <w:tblStyle w:val="7"/>
        <w:tblpPr w:leftFromText="180" w:rightFromText="180" w:vertAnchor="text" w:horzAnchor="page" w:tblpX="455" w:tblpY="588"/>
        <w:tblOverlap w:val="never"/>
        <w:tblW w:w="113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5"/>
        <w:gridCol w:w="1125"/>
        <w:gridCol w:w="5936"/>
        <w:gridCol w:w="1380"/>
        <w:gridCol w:w="2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Segoe UI" w:hAnsi="Segoe UI" w:eastAsia="Segoe UI" w:cs="Segoe UI"/>
                <w:b/>
                <w:bCs/>
                <w:i w:val="0"/>
                <w:iCs w:val="0"/>
                <w:color w:val="000000"/>
                <w:sz w:val="18"/>
                <w:szCs w:val="18"/>
                <w:u w:val="none"/>
              </w:rPr>
            </w:pPr>
            <w:r>
              <w:rPr>
                <w:rFonts w:hint="default" w:ascii="Segoe UI" w:hAnsi="Segoe UI" w:eastAsia="Segoe UI" w:cs="Segoe UI"/>
                <w:b/>
                <w:bCs/>
                <w:i w:val="0"/>
                <w:iCs w:val="0"/>
                <w:color w:val="000000"/>
                <w:kern w:val="0"/>
                <w:sz w:val="18"/>
                <w:szCs w:val="18"/>
                <w:u w:val="none"/>
                <w:lang w:val="en-US" w:eastAsia="zh-CN" w:bidi="ar"/>
              </w:rPr>
              <w:t>单位编号</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Segoe UI" w:hAnsi="Segoe UI" w:eastAsia="Segoe UI" w:cs="Segoe UI"/>
                <w:b/>
                <w:bCs/>
                <w:i w:val="0"/>
                <w:iCs w:val="0"/>
                <w:color w:val="000000"/>
                <w:sz w:val="18"/>
                <w:szCs w:val="18"/>
                <w:u w:val="none"/>
              </w:rPr>
            </w:pPr>
            <w:r>
              <w:rPr>
                <w:rFonts w:hint="default" w:ascii="Segoe UI" w:hAnsi="Segoe UI" w:eastAsia="Segoe UI" w:cs="Segoe UI"/>
                <w:b/>
                <w:bCs/>
                <w:i w:val="0"/>
                <w:iCs w:val="0"/>
                <w:color w:val="000000"/>
                <w:kern w:val="0"/>
                <w:sz w:val="18"/>
                <w:szCs w:val="18"/>
                <w:u w:val="none"/>
                <w:lang w:val="en-US" w:eastAsia="zh-CN" w:bidi="ar"/>
              </w:rPr>
              <w:t>单位名称</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Segoe UI" w:hAnsi="Segoe UI" w:eastAsia="Segoe UI" w:cs="Segoe UI"/>
                <w:b/>
                <w:bCs/>
                <w:i w:val="0"/>
                <w:iCs w:val="0"/>
                <w:color w:val="000000"/>
                <w:sz w:val="18"/>
                <w:szCs w:val="18"/>
                <w:u w:val="none"/>
              </w:rPr>
            </w:pPr>
            <w:r>
              <w:rPr>
                <w:rFonts w:hint="default" w:ascii="Segoe UI" w:hAnsi="Segoe UI" w:eastAsia="Segoe UI" w:cs="Segoe UI"/>
                <w:b/>
                <w:bCs/>
                <w:i w:val="0"/>
                <w:iCs w:val="0"/>
                <w:color w:val="000000"/>
                <w:kern w:val="0"/>
                <w:sz w:val="18"/>
                <w:szCs w:val="18"/>
                <w:u w:val="none"/>
                <w:lang w:val="en-US" w:eastAsia="zh-CN" w:bidi="ar"/>
              </w:rPr>
              <w:t>人员编号</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Segoe UI" w:hAnsi="Segoe UI" w:eastAsia="Segoe UI" w:cs="Segoe UI"/>
                <w:b/>
                <w:bCs/>
                <w:i w:val="0"/>
                <w:iCs w:val="0"/>
                <w:color w:val="000000"/>
                <w:sz w:val="18"/>
                <w:szCs w:val="18"/>
                <w:u w:val="none"/>
              </w:rPr>
            </w:pPr>
            <w:r>
              <w:rPr>
                <w:rFonts w:hint="default" w:ascii="Segoe UI" w:hAnsi="Segoe UI" w:eastAsia="Segoe UI" w:cs="Segoe UI"/>
                <w:b/>
                <w:bCs/>
                <w:i w:val="0"/>
                <w:iCs w:val="0"/>
                <w:color w:val="000000"/>
                <w:kern w:val="0"/>
                <w:sz w:val="18"/>
                <w:szCs w:val="18"/>
                <w:u w:val="none"/>
                <w:lang w:val="en-US" w:eastAsia="zh-CN" w:bidi="ar"/>
              </w:rPr>
              <w:t>区划名称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20028236</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江苏东部高速公路管理有限公司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1021842069</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13395122</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江苏汇友人力资源服务有限责任公司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1032832291</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19377678</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江苏领航服务外包有限公司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1144572913</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19377678</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江苏领航服务外包有限公司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1011727900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19377678</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江苏领航服务外包有限公司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1002650598</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18706339</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江苏省外事服务中心有限公司第一分部</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1036110857</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11049898</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南京地铁物业管理有限公司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1097546773</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11574433</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南京乐金熊猫电器有限公司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1019970171</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15722258</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南京人济企业管理咨询有限公司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1091934838</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15722258</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南京人济企业管理咨询有限公司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1113986122</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11914808</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南京仁恒物业管理有限公司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1159962548</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17963477</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南京我爱我家房屋租赁置换有限公司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1051589807</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17619779</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南京雨花润雨环境有限公司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1196550537</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17619779</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南京雨花润雨环境有限公司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1232712240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19052030</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青岛海信电器营销股份有限公司南京分公司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1026797224</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16354668</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上海外服江苏人力资源服务有限公司南京分公司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6000110097</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20062031</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苏果超市有限公司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1180843405</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20062031</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苏果超市有限公司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1111602043</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20062031</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苏果超市有限公司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1104885540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10888245</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中国石化集团共享服务有限公司南京分公司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1119363171</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13332340</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爱玛客服务产业（中国）有限公司南京分公司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1125308281</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南京市鼓楼区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13332340</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爱玛客服务产业（中国）有限公司南京分公司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1197528413</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南京市鼓楼区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13332340</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爱玛客服务产业（中国）有限公司南京分公司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1003967626</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南京市鼓楼区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30088467</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个人参保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6007616846</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南京市鼓楼区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30088467</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个人参保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1418197400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南京市鼓楼区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61324498</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鼓楼区美卿内衣经营部</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1005031080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南京市鼓楼区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20170062</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徽商银行股份有限公司南京分行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1202419129</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南京市鼓楼区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10455876</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江苏动铁人力资源服务有限公司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1002981410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南京市鼓楼区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10455876</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江苏动铁人力资源服务有限公司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1015324390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南京市鼓楼区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10455876</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江苏动铁人力资源服务有限公司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1017282332</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南京市鼓楼区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12168843</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江苏恒馨源服务外包有限公司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1104757620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南京市鼓楼区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12168843</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江苏恒馨源服务外包有限公司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1015260340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南京市鼓楼区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13892251</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江苏轩朗人力资源服务有限公司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1184180462</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南京市鼓楼区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12395761</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江苏中住物业服务开发有限公司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1264009172</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南京市鼓楼区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17587332</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南京宝星建设有限公司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1045886098</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南京市鼓楼区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14505204</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南京诚邦船务有限公司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1102436052</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南京市鼓楼区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16213168</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南京鼓楼环境卫生服务有限责任公司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6000331678</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南京市鼓楼区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16213168</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南京鼓楼环境卫生服务有限责任公司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6005537212</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南京市鼓楼区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10167263</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南京汇仁恒安物业管理有限公司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1293539819</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南京市鼓楼区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12197382</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南京吉龙工贸有限公司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1128696445</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南京市鼓楼区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13017776</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南京君通华江饭店有限责任公司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1008125741</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南京市鼓楼区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15803552</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南京亮石环境工程有限公司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1040480233</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南京市鼓楼区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18976014</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南京宁众人力资源咨询服务有限公司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1166933343</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南京市鼓楼区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18976014</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南京宁众人力资源咨询服务有限公司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1177738622</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南京市鼓楼区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18795356</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南京祺诺康之佳文化发展有限公司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1042689391</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南京市鼓楼区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60504273</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南京润淼房产经纪有限公司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1009657356</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南京市鼓楼区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60475949</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南京市鼓楼区丁少芹服饰店</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1237478093</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南京市鼓楼区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14114459</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南京市下关区茂顺汽车维修中心</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1223950392</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南京市鼓楼区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12385216</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南京寿仙谷健康科技有限公司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1072496611</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南京市鼓楼区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17220782</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南京韵桐文化传播有限公司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1036106907</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南京市鼓楼区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15051995</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上海奥维思市场营销服务有限公司南京分公司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1011053779</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南京市鼓楼区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16425639</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上海文昕企业管理服务有限公司南京分公司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1098214744</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南京市鼓楼区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13507461</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苏州苏东吴后勤管理服务有限公司南京分公司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1037389399</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南京市鼓楼区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16449813</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薪税保江苏人力资源有限公司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1095192108</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南京市鼓楼区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16508255</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中铁四局集团有限公司南京分公司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1198172920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南京市鼓楼区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60631634</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邦芒服务外包有限公司南京分公司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1032838544</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南京市玄武区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19586620</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点米网络科技股份有限公司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1017987851</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南京市玄武区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19586620</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点米网络科技股份有限公司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6000579374</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南京市玄武区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14230599</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江苏点米谋士企业管理服务有限公司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1290986236</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南京市玄武区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14230599</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江苏点米谋士企业管理服务有限公司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1003106562</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南京市玄武区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14230599</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江苏点米谋士企业管理服务有限公司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1076386937</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南京市玄武区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14230599</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江苏点米谋士企业管理服务有限公司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1042987900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南京市玄武区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14230599</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江苏点米谋士企业管理服务有限公司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1018471575</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南京市玄武区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20158374</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江苏金陵旅游投资管理集团有限公司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1047770545</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南京市玄武区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13515515</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江苏锦上装饰设计工程有限公司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1021122163</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南京市玄武区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14544662</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江苏容德科技有限公司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1027923931</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南京市玄武区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19193974</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江苏未来之家超市有限公司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1031925613</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南京市玄武区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61054519</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美国船级社（中国）有限公司南京分公司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6009264028</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南京市玄武区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19146519</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南京东池快餐店</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1013584612</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南京市玄武区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10164520</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南京今元人才人力资源服务有限公司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1021856993</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南京市玄武区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13970178</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南京骏之诺空间设计有限公司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1015982877</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南京市玄武区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14935789</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南京市城市环卫集团有限公司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1208161947</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南京市玄武区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16531551</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南京锁金农贸市场管理服务有限公司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6000033960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南京市玄武区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11425341</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南京台城人才服务有限公司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1034632132</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南京市玄武区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18150923</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南京艺萃文化发展有限公司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1070608915</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南京市玄武区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14510599</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南京卓通科技有限公司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6005753039</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南京市玄武区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10321327</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南京紫金好百年餐饮管理有限公司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6008167455</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南京市玄武区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17423736</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杭州中迈建筑劳务有限公司南京分公司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1116655925</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南京市秦淮区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61015581</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汇奕诚企业管理咨询（江苏南京）有限公司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1063303247</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南京市秦淮区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61015581</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汇奕诚企业管理咨询（江苏南京）有限公司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1067076929</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南京市秦淮区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14768859</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江苏海底捞餐饮管理有限责任公司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6003319324</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南京市秦淮区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12646960</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江苏和君服务外包有限公司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1033166238</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南京市秦淮区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60511293</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江苏基久网络科技有限公司第十六分公司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1097380722</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南京市秦淮区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14562689</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江苏苏珺建设工程有限公司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1039337843</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南京市秦淮区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12478285</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江苏银丰生物工程有限公司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1000903949</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南京市秦淮区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13092074</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南京安通工程咨询监理有限公司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1096459315</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南京市秦淮区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17863465</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南京贝塔化工有限公司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1016189252</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南京市秦淮区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18143862</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南京车立方智能交通科技有限公司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1107854045</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南京市秦淮区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14947314</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南京创想建材有限公司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1007460658</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南京市秦淮区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15520747</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南京丛信立农副产品有限公司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1115586969</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南京市秦淮区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60212391</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南京合郡餐饮管理有限公司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6009496700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南京市秦淮区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17569448</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南京家益达机电有限公司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6014023912</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南京市秦淮区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16738996</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南京金盾物业管理服务有限公司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1032070924</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南京市秦淮区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19466190</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南京巨汇圣华纸业制品有限公司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1186317812</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南京市秦淮区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14357874</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南京聚发德企业管理有限公司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1042089399</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南京市秦淮区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19074779</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南京宁兴物业管理有限公司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1138945989</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南京市秦淮区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14598372</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南京清诚露洁环境工程有限公司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1170280534</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南京市秦淮区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61327401</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南京陕九门餐饮管理有限公司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1069630446</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南京市秦淮区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19149924</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南京市秦淮区晋本文豆制品经营部</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1139973271</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南京市秦淮区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30359668</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南京市秦淮区邹凤艳珠宝店</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1036938005</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南京市秦淮区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60571435</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南京天乐人力资源有限公司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6010202167</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南京市秦淮区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14797997</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南京天逸会计师事务所(普通合伙)</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1003546610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南京市秦淮区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12011171</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南京颐悦酒店管理有限公司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1297903085</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南京市秦淮区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18419455</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南京源恒保安服务有限公司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1121808312</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南京市秦淮区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18658953</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南京智服人力资源有限公司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1192437088</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南京市秦淮区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10240279</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上海必胜客有限公司南京分公司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1032043287</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南京市秦淮区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10240279</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上海必胜客有限公司南京分公司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1136286086</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南京市秦淮区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30088467</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个人参保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1016749722</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南京市建邺区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30088467</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个人参保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1029657441</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南京市建邺区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61462724</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建维（南京）项目管理有限公司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1077771953</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南京市建邺区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60893387</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建邺区奚枚电器经营部</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1002008567</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南京市建邺区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60723077</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江苏汇瑞泽智能科技有限公司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6006602764</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南京市建邺区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61377917</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江苏卓耀电力设计有限公司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6006543718</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南京市建邺区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13717988</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金尧建设有限公司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1071698638</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南京市建邺区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13934546</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南京道信装饰有限公司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1135295816</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南京市建邺区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18120574</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南京东翔再生资源有限公司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1000256486</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南京市建邺区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18639298</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南京格亚科技设备有限公司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1002481247</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南京市建邺区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11712657</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南京汉腾酒店管理有限公司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1229316839</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南京市建邺区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18942546</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南京和益融再生资源有限公司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1207849159</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南京市建邺区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60250165</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南京恒根电子科技有限公司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6005070877</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南京市建邺区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15671322</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南京陆朝装饰有限公司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1178651560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南京市建邺区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19419810</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南京仁齐商贸有限公司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1209878276</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南京市建邺区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13609315</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南京十朝春餐饮管理有限公司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1010708974</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南京市建邺区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13924265</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南京市建邺区帝一范美容美发中心</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1007778089</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南京市建邺区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61291328</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南京水杉私募基金管理有限公司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1056394877</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南京市建邺区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19445072</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南京探鱼餐饮管理有限公司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1269230245</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南京市建邺区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13692417</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南京相辅工程设计有限公司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1014331519</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南京市建邺区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14137315</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南京鑫铁中盛建设工程有限公司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1025225646</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南京市建邺区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16391453</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南京易实杰环保科技有限公司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1074717702</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南京市建邺区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11626040</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南京宇盛达科技有限公司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1002109501</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南京市建邺区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20170358</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中国核工业华兴建设有限公司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1031831891</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南京市建邺区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14556599</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江苏国药兴康科技发展有限公司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1002763794</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南京市雨花台区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14968349</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江苏豪铂臣商贸有限责任公司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1062606007</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南京市雨花台区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18916974</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江苏科衡建设工程有限公司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1025418574</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南京市雨花台区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61457761</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科大智能科技股份有限公司南京分公司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6014616918</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南京市雨花台区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61350458</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南京博优网络信息技术有限公司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6004573402</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南京市雨花台区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14293191</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南京德力通环境科技有限公司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6001755562</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南京市雨花台区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61121800</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南京广利苑餐饮管理有限公司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1005945898</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南京市雨花台区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12968597</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南京华聚服务外包有限公司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1104876952</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南京市雨花台区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14750091</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南京徽仁堂企业管理有限公司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1138600572</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南京市雨花台区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13428963</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南京九天水务有限公司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1126969669</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南京市雨花台区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13813702</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南京圣迪奥时装有限公司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6010039760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南京市雨花台区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18883864</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南京食刻餐饮管理有限公司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1034609712</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南京市雨花台区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16773827</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南京市保安服务有限公司雨花台分公司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1109117450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南京市雨花台区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11570439</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南京市雨花台区曹忠岐货运部</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1014204189</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南京市雨花台区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13719567</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南京市雨花台区玉路宾馆</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1154664488</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南京市雨花台区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30469626</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南京市雨花台区长空电子产品销售中心</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1037883383</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南京市雨花台区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18844670</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南京万通热力能源有限公司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1006805045</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南京市雨花台区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10483128</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南京益盈生物科技有限公司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1298922604</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南京市雨花台区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13998072</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深圳市易思博酷客科技有限公司南京分公司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1028730243</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南京市雨花台区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61120600</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怡通数科江苏供应链有限公司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1116056811</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南京市雨花台区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60420773</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雨花台区李方华蔬菜经营部</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1031971930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南京市雨花台区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30088467</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个人参保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1109876981</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南京市栖霞区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30088467</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个人参保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1418227101</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南京市栖霞区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12934490</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杭州味全食品有限公司南京分公司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1084586857</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南京市栖霞区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16254946</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江苏鸿远物业服务有限公司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1084304053</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南京市栖霞区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10218466</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江苏凯米膜科技股份有限公司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1208794423</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南京市栖霞区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15401991</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江苏润科金属制品有限公司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1193504632</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南京市栖霞区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12545011</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江苏亭元浩建设工程有限公司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1019530012</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南京市栖霞区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14361819</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江苏中安科技服务有限公司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1002891944</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南京市栖霞区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16263634</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南京翱翔网络工程有限公司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1261564959</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南京市栖霞区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18503813</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南京皕顺汽车租赁有限公司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1004107846</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南京市栖霞区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14064800</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南京博润城市环境工程有限公司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1003094246</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南京市栖霞区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14064800</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南京博润城市环境工程有限公司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6009079829</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南京市栖霞区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17813817</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南京聪典劳务服务有限公司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1172709784</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南京市栖霞区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13419949</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南京飞天一淼科技服务有限公司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1004333561</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南京市栖霞区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20138445</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南京国际外籍人员子女学校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1116621415</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南京市栖霞区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13728943</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南京华耀摄影器材有限公司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1193315138</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南京市栖霞区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10949098</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南京江川电子有限公司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6014487019</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南京市栖霞区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17679721</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南京金巨润化工有限公司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1006269379</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南京市栖霞区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11247449</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南京俱进人力资源开发服务有限公司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1102686238</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南京市栖霞区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10070873</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南京聚联输变电安装有限责任公司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1001995648</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南京市栖霞区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13383556</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南京卡知电子科技有限公司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1164269151</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南京市栖霞区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18174370</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南京迈斯格电子科技有限公司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1014730154</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南京市栖霞区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14982511</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南京麦田环境工程有限公司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1109885063</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南京市栖霞区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14284996</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南京满源汽车零部件制造有限公司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1036376343</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南京市栖霞区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18000545</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南京市栖霞区杜海洋蔬菜经营部</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1036342895</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南京市栖霞区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17757372</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南京市栖霞区刘汉军小吃店</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1057819812</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南京市栖霞区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16849982</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南京沃派建筑设计有限公司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1042390105</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南京市栖霞区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12282250</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南京耀固混凝土有限公司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1057681820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南京市栖霞区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60468799</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南京云优泽物流有限公司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1162826867</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南京市栖霞区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16551652</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南京泽予建材商贸有限公司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1150096219</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南京市栖霞区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60541353</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南京中诺人力资源服务有限公司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1171967808</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南京市栖霞区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13713166</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南京住庭酒店管理有限公司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6006867318</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南京市栖霞区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16172056</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泰康仙林鼓楼医院有限公司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1138638821</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南京市栖霞区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11973849</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格力电器（南京）有限公司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1147129233</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30088467</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个人参保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1180691205</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30088467</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个人参保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1149826077</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30088467</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个人参保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1135079321</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11349649</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淮安拓翔防腐有限公司南京分公司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1189044526</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61163841</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江宁区福同乐餐饮店（个体工商户）</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1028766070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13866370</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江苏宝美户外用品股份有限公司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1121872344</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15608835</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江苏诚昌建设工程有限公司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1076290697</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60919126</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江苏大胜辰光工程科技咨询有限公司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1010780095</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20170349</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江苏省埃迪机电设备实业有限公司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1187606016</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20170349</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江苏省埃迪机电设备实业有限公司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1191667903</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15015448</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江苏益丰医药有限公司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1155784730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15326277</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泸溪河食品（南京）有限公司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1031909356</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15326277</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泸溪河食品（南京）有限公司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6003289984</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12121889</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南京佰特尔电子科技有限公司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1174410255</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15476998</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南京诚品食品有限公司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1117101458</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19341120</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南京川流汽车零部件有限公司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1181002898</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15219274</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南京春方机电设备有限公司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1033162541</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13498502</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南京顶生食品有限公司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1190604257</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12484440</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南京范氏酒业贸易有限公司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1110783585</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61581766</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南京衡记汽车服务有限公司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1112706708</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15590814</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南京宏唐控制工程有限公司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1148314343</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15186027</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南京江宁文鸿中医门诊部有限公司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1008005932</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18421114</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南京军峰商贸有限公司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1164621753</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15164483</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南京凯雷工程机械有限公司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1182268548</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14388499</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南京兰叶建设集团有限公司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1034078788</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60787700</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南京联品优选连锁超市有限公司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1163754996</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19052950</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南京良食汇食品有限公司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6000307560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10650103</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南京林语花海花卉有限公司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1026552124</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60280025</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南京美卓戴克节能科技有限公司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1177544668</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15782251</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南京诺瓦克机械有限公司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6001071818</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17563123</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南京派格斯游乐设备有限公司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1178673585</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61518544</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南京齐物轩字画装裱有限公司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1007713067</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11671312</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南京启润食品有限公司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6010102670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17712773</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南京泉峰科技有限公司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6002547945</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15172145</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南京市江宁区贝新全百货店</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1033177306</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14138388</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南京市江宁区永威百货超市店</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1007797062</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18787206</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南京市苏敬照明科技有限公司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6001815892</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61487830</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南京市臻瑜企业咨询服务有限公司第一分公司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6007878977</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18960599</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南京顺华人力资源有限公司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1125285100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14972850</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南京陶艺斋餐饮管理有限公司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1006406467</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12117494</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南京天捷建筑安装有限公司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1009518253</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61301215</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南京维希图智能科技有限公司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1056320011</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12395956</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南京卫岗乳业有限公司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1058616219</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60715680</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南京新岸线智能科技有限公司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1032807007</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15016577</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南京鑫豪房产经纪有限公司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1212246674</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10707651</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南京燕飞酒业有限公司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1020051232</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60999535</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南京一叶轻舟出入境服务有限公司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1269543915</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11922938</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南京耘鼎电力工程有限公司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1037848288</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17388973</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南京则成企业管理服务有限公司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1174377624</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14994847</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南京正丰光电科技有限公司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1001171370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15562513</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南京中企动力人力资源科技集团有限公司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1155111687</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15562513</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南京中企动力人力资源科技集团有限公司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1235654165</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60924112</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深圳珈伟绿能建设有限公司南京分公司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1132599131</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18669067</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亿泰精密工业（南京）有限公司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1082888776</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18669067</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亿泰精密工业（南京）有限公司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1010527653</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10096603</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兆联环保科技（南京）有限公司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1032006080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18853676</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正大天晴药业集团南京顺欣制药有限公司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1002708571</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11166358</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中海建筑有限公司南京分公司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1000406610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30088467</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个人参保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6012176655</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南京市浦口区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30088467</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个人参保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1035366321</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南京市浦口区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60054775</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江苏华海顺供应链管理有限公司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1135564113</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南京市浦口区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11669298</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江苏中城监建设集团有限公司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6000130135</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南京市浦口区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10783630</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江苏中晟建设集团有限公司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1045090422</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南京市浦口区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61564216</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连云港开发区人力资源开发有限公司南京分公司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1001908197</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南京市浦口区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15299789</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南京博洋生物科技有限公司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1013622194</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南京市浦口区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61470944</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南京丰源轩企业管理有限公司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1261685298</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南京市浦口区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13745311</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南京郎顿再生资源有限公司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1070600416</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南京市浦口区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60732145</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南京浦泉企业服务有限公司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1204560160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南京市浦口区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19057717</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南京途峰建设工程有限公司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1017837682</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南京市浦口区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13949143</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南京志力成食品股份有限公司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1154192684</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南京市浦口区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60290296</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浦口区古月烟酒商贸部</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1114736818</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南京市浦口区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14819727</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江苏安德福能源供应链科技有限公司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1064631502</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南京市六合区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18514983</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江苏润盛科技有限公司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1177368805</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南京市六合区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15133981</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江苏天旭印务有限公司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1185461112</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南京市六合区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13714813</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南京宏捷人力资源有限公司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6013248792</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南京市六合区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60868654</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南京金珉脚手架工程有限公司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1011813476</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南京市六合区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16903333</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南京珀海商贸有限公司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1187628983</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南京市六合区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16229365</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南京盛世永恒企业管理有限公司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1110379456</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南京市六合区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17567022</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南京众岛建设工程有限公司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1025251948</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南京市六合区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13601639</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成都航天模塑南京有限公司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1067372556</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南京市溧水区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10964792</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创维电器股份有限公司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1005999030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南京市溧水区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15624434</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光明集团南京金洲家具有限公司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1097813908</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南京市溧水区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16679135</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江苏恒基混凝土有限公司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1230869983</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南京市溧水区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60627752</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江苏强龙氢能源科技有限公司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6009980224</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南京市溧水区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18893456</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江苏全业信建设有限公司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1057919819</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南京市溧水区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13344531</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江苏双宁工程检测有限公司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1046044924</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南京市溧水区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11126096</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南京嘉宏包装有限公司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1209133645</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南京市溧水区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18256340</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南京金万辰生物科技有限公司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1001586521</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南京市溧水区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14016192</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南京久恒商业管理有限公司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1035858432</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南京市溧水区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60744406</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南京聚彩餐饮管理有限公司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1091675300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南京市溧水区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14738155</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南京马斯德克门业有限公司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6008876812</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南京市溧水区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11463850</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南京美高美新材料有限公司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1247065280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南京市溧水区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11347412</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南京蒙迪塞罗酒店管理有限公司南京卧龙湖豪廷酒店分公司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1151421534</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南京市溧水区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61610964</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南京宁蓝技术咨询有限公司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6014774277</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南京市溧水区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12223748</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南京纽芝兰进出口有限公司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1031268901</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南京市溧水区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13475765</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南京群力运动器材有限公司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6009331719</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南京市溧水区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17926529</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南京市比亚迪汽车有限公司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6005597600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南京市溧水区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17926529</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南京市比亚迪汽车有限公司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6005597562</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南京市溧水区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61235220</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南京特莱盛能源科技有限公司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1009846028</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南京市溧水区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15486528</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南京为了福企业管理有限公司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1124531593</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南京市溧水区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14312839</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南京喜之郎食品有限公司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1165064788</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南京市溧水区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13405752</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南京优芙得餐饮管理有限公司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1033055226</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南京市溧水区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60470572</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艾迪乐家具（南京）有限公司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6010736876</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南京市高淳区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10168513</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江苏艾思飞精密零部件有限公司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6003281653</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南京市高淳区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14565679</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江苏联企建材有限公司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1233426012</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南京市高淳区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19066499</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江苏苏美达创智服装科技发展有限公司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6001803725</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南京市高淳区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12538233</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江苏苏台航天农业云科技发展有限公司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1235610954</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南京市高淳区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11357590</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南京芬森医疗器械有限公司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1038996072</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南京市高淳区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14607494</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南京冠盛汽配有限公司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1192413627</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南京市高淳区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14607494</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南京冠盛汽配有限公司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1201993764</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南京市高淳区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60929405</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南京宏森源达人力资源有限公司高淳分公司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1085645867</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南京市高淳区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17931306</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南京煌开科技有限公司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1032808318</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南京市高淳区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19397149</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南京迦南比逊科技有限公司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6003500912</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南京市高淳区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60837414</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南京钧达保温材料科技有限公司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6007833144</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南京市高淳区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10147767</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南京康聚医疗器械有限公司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1293650137</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南京市高淳区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60969769</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南京伍辰环保科技有限公司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1262021536</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南京市高淳区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60601981</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上海益中亘泰（集团）股份有限公司江苏分公司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1028233599</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南京市高淳区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13497632</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高济医药（江苏）有限公司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1295531072</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南京江北新区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30088467</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个人参保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1111858291</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南京江北新区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30088467</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个人参保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1009517110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南京江北新区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30088467</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个人参保</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1174989408</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南京江北新区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14301182</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江苏昌裕环境科技有限公司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1084855889</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南京江北新区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18864267</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江苏环保产业技术研究院股份公司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1045031938</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南京江北新区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20033995</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江苏省农药研究所股份有限公司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1248966505</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南京江北新区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14426047</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江苏新安物流有限公司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1163311596</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南京江北新区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20115327</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江苏中巨安防科技有限公司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1091986458</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南京江北新区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17531566</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南京艾美斐生物医药科技有限公司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6000528112</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南京江北新区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18399015</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南京佰事捷设备租赁有限公司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1034916558</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南京江北新区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14574520</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南京博爱人力资源有限责任公司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1116655738</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南京江北新区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60427153</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南京釜鼎新能源科技有限公司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6003693367</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南京江北新区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14736818</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南京光辉人力资源有限公司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1104820369</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南京江北新区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14736818</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南京光辉人力资源有限公司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1022786203</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南京江北新区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17153643</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南京国安物流有限公司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1154283335</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南京江北新区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13109858</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南京汉苏建筑模板有限公司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1296886889</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南京江北新区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12173850</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南京弘阳物业管理有限公司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1178934889</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南京江北新区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14270378</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南京华尔佳设备安装有限公司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1097896283</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南京江北新区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60098883</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南京佳垚建设工程有限公司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1009628675</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南京江北新区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17150338</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南京健友药业有限公司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1013664154</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南京江北新区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60675938</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南京玖峰建筑科技有限公司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6005366312</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南京江北新区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15754047</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南京康骏建设工程有限公司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1077234671</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南京江北新区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16277756</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南京利邦化工有限公司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1207586635</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南京江北新区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61407048</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南京量源生物科技有限公司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1240958106</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南京江北新区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10410915</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南京市中和酒店管理有限公司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1264006560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南京江北新区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15126310</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南京顺君运输有限公司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1111555820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南京江北新区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11546745</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南京特和建设有限公司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1140628162</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南京江北新区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16246453</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南京翔晟劳务服务有限公司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6006813412</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南京江北新区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60348705</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南京盈亿科技服务有限公司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1007374789</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南京江北新区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61360608</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上海昌缘劳务派遣有限公司南京分公司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6012088455</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南京江北新区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15281282</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远创人力资源管理集团有限公司南京分公司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1031741528</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南京江北新区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12300311</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江苏卡思迪莱服饰有限公司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1168708189</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南京经济技术开发区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11414709</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南京爱味弘企业管理服务有限公司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1056224272</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南京经济技术开发区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14971076</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南京昕锐嘉智能科技有限公司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1026520869</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南京经济技术开发区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13005282</w:t>
            </w:r>
          </w:p>
        </w:tc>
        <w:tc>
          <w:tcPr>
            <w:tcW w:w="5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喜星电子（南京）有限公司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1032028672</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南京经济技术开发区</w:t>
            </w:r>
          </w:p>
        </w:tc>
      </w:tr>
    </w:tbl>
    <w:p>
      <w:pPr>
        <w:spacing w:line="560" w:lineRule="exact"/>
        <w:ind w:firstLine="5600" w:firstLineChars="1750"/>
        <w:rPr>
          <w:rFonts w:ascii="方正仿宋_GBK" w:eastAsia="方正仿宋_GBK"/>
          <w:sz w:val="32"/>
          <w:szCs w:val="32"/>
        </w:rPr>
        <w:sectPr>
          <w:pgSz w:w="11906" w:h="16838"/>
          <w:pgMar w:top="1134" w:right="1588" w:bottom="1474" w:left="1588" w:header="851" w:footer="992" w:gutter="0"/>
          <w:cols w:space="720" w:num="1"/>
          <w:docGrid w:type="lines" w:linePitch="323" w:charSpace="0"/>
        </w:sect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附2：国家和省相关政策规定</w:t>
      </w:r>
    </w:p>
    <w:p>
      <w:pPr>
        <w:spacing w:line="390" w:lineRule="exact"/>
        <w:ind w:firstLine="440" w:firstLineChars="200"/>
        <w:rPr>
          <w:rFonts w:ascii="方正仿宋_GBK" w:eastAsia="方正仿宋_GBK"/>
          <w:sz w:val="22"/>
          <w:szCs w:val="28"/>
        </w:rPr>
      </w:pPr>
      <w:r>
        <w:rPr>
          <w:rFonts w:hint="eastAsia" w:ascii="方正仿宋_GBK" w:eastAsia="方正仿宋_GBK"/>
          <w:sz w:val="22"/>
          <w:szCs w:val="28"/>
        </w:rPr>
        <w:t>一、《关于转发人力资源社会保障部 财政部城镇企业职工基本养老保险关系转移接续暂行办法的通知》（国办发〔</w:t>
      </w:r>
      <w:r>
        <w:rPr>
          <w:rFonts w:eastAsia="方正仿宋_GBK"/>
          <w:sz w:val="22"/>
          <w:szCs w:val="28"/>
        </w:rPr>
        <w:t>2009</w:t>
      </w:r>
      <w:r>
        <w:rPr>
          <w:rFonts w:hint="eastAsia" w:ascii="方正仿宋_GBK" w:eastAsia="方正仿宋_GBK"/>
          <w:sz w:val="22"/>
          <w:szCs w:val="28"/>
        </w:rPr>
        <w:t>〕</w:t>
      </w:r>
      <w:r>
        <w:rPr>
          <w:rFonts w:eastAsia="方正仿宋_GBK"/>
          <w:sz w:val="22"/>
          <w:szCs w:val="28"/>
        </w:rPr>
        <w:t>66</w:t>
      </w:r>
      <w:r>
        <w:rPr>
          <w:rFonts w:hint="eastAsia" w:ascii="方正仿宋_GBK" w:eastAsia="方正仿宋_GBK"/>
          <w:sz w:val="22"/>
          <w:szCs w:val="28"/>
        </w:rPr>
        <w:t>号）第六条：跨省流动就业的参保人员达到待遇领取条件时，按下列规定确定其待遇领取地：</w:t>
      </w:r>
    </w:p>
    <w:p>
      <w:pPr>
        <w:spacing w:line="390" w:lineRule="exact"/>
        <w:ind w:firstLine="440" w:firstLineChars="200"/>
        <w:rPr>
          <w:rFonts w:ascii="方正仿宋_GBK" w:eastAsia="方正仿宋_GBK"/>
          <w:sz w:val="22"/>
          <w:szCs w:val="28"/>
        </w:rPr>
      </w:pPr>
      <w:r>
        <w:rPr>
          <w:rFonts w:hint="eastAsia" w:ascii="方正仿宋_GBK" w:eastAsia="方正仿宋_GBK"/>
          <w:sz w:val="22"/>
          <w:szCs w:val="28"/>
        </w:rPr>
        <w:t>（一）基本养老保险关系在户籍所在地的，由户籍所在地负责办理待遇领取手续，享受基本养老保险待遇。</w:t>
      </w:r>
    </w:p>
    <w:p>
      <w:pPr>
        <w:spacing w:line="390" w:lineRule="exact"/>
        <w:ind w:firstLine="440" w:firstLineChars="200"/>
        <w:rPr>
          <w:rFonts w:ascii="方正仿宋_GBK" w:eastAsia="方正仿宋_GBK"/>
          <w:sz w:val="22"/>
          <w:szCs w:val="28"/>
        </w:rPr>
      </w:pPr>
      <w:r>
        <w:rPr>
          <w:rFonts w:hint="eastAsia" w:ascii="方正仿宋_GBK" w:eastAsia="方正仿宋_GBK"/>
          <w:sz w:val="22"/>
          <w:szCs w:val="28"/>
        </w:rPr>
        <w:t>（二）基本养老保险关系不在户籍所在地，而在其基本养老保险关系所在地累计缴费年限满</w:t>
      </w:r>
      <w:r>
        <w:rPr>
          <w:rFonts w:eastAsia="方正仿宋_GBK"/>
          <w:sz w:val="22"/>
          <w:szCs w:val="28"/>
        </w:rPr>
        <w:t>10</w:t>
      </w:r>
      <w:r>
        <w:rPr>
          <w:rFonts w:hint="eastAsia" w:ascii="方正仿宋_GBK" w:eastAsia="方正仿宋_GBK"/>
          <w:sz w:val="22"/>
          <w:szCs w:val="28"/>
        </w:rPr>
        <w:t>年的，在该地办理待遇领取手续，享受当地基本养老保险待遇。</w:t>
      </w:r>
    </w:p>
    <w:p>
      <w:pPr>
        <w:spacing w:line="390" w:lineRule="exact"/>
        <w:ind w:firstLine="440" w:firstLineChars="200"/>
        <w:rPr>
          <w:rFonts w:ascii="方正仿宋_GBK" w:eastAsia="方正仿宋_GBK"/>
          <w:sz w:val="22"/>
          <w:szCs w:val="28"/>
        </w:rPr>
      </w:pPr>
      <w:r>
        <w:rPr>
          <w:rFonts w:hint="eastAsia" w:ascii="方正仿宋_GBK" w:eastAsia="方正仿宋_GBK"/>
          <w:sz w:val="22"/>
          <w:szCs w:val="28"/>
        </w:rPr>
        <w:t>（三）基本养老保险关系不在户籍所在地，且在其基本养老保险关系所在地累计缴费年限不满</w:t>
      </w:r>
      <w:r>
        <w:rPr>
          <w:rFonts w:eastAsia="方正仿宋_GBK"/>
          <w:sz w:val="22"/>
          <w:szCs w:val="28"/>
        </w:rPr>
        <w:t>10</w:t>
      </w:r>
      <w:r>
        <w:rPr>
          <w:rFonts w:hint="eastAsia" w:ascii="方正仿宋_GBK" w:eastAsia="方正仿宋_GBK"/>
          <w:sz w:val="22"/>
          <w:szCs w:val="28"/>
        </w:rPr>
        <w:t>年的，将其基本养老保险关系转回上一个缴费年限满</w:t>
      </w:r>
      <w:r>
        <w:rPr>
          <w:rFonts w:eastAsia="方正仿宋_GBK"/>
          <w:sz w:val="22"/>
          <w:szCs w:val="28"/>
        </w:rPr>
        <w:t>10</w:t>
      </w:r>
      <w:r>
        <w:rPr>
          <w:rFonts w:hint="eastAsia" w:ascii="方正仿宋_GBK" w:eastAsia="方正仿宋_GBK"/>
          <w:sz w:val="22"/>
          <w:szCs w:val="28"/>
        </w:rPr>
        <w:t>年的原参保地办理待遇领取手续，享受基本养老保险待遇。</w:t>
      </w:r>
    </w:p>
    <w:p>
      <w:pPr>
        <w:spacing w:line="390" w:lineRule="exact"/>
        <w:ind w:firstLine="440" w:firstLineChars="200"/>
        <w:rPr>
          <w:rFonts w:ascii="方正仿宋_GBK" w:eastAsia="方正仿宋_GBK"/>
          <w:sz w:val="22"/>
          <w:szCs w:val="28"/>
        </w:rPr>
      </w:pPr>
      <w:r>
        <w:rPr>
          <w:rFonts w:hint="eastAsia" w:ascii="方正仿宋_GBK" w:eastAsia="方正仿宋_GBK"/>
          <w:sz w:val="22"/>
          <w:szCs w:val="28"/>
        </w:rPr>
        <w:t>（四）基本养老保险关系不在户籍所在地，且在每个参保地的累计缴费年限均不满</w:t>
      </w:r>
      <w:r>
        <w:rPr>
          <w:rFonts w:eastAsia="方正仿宋_GBK"/>
          <w:sz w:val="22"/>
          <w:szCs w:val="28"/>
        </w:rPr>
        <w:t>10</w:t>
      </w:r>
      <w:r>
        <w:rPr>
          <w:rFonts w:hint="eastAsia" w:ascii="方正仿宋_GBK" w:eastAsia="方正仿宋_GBK"/>
          <w:sz w:val="22"/>
          <w:szCs w:val="28"/>
        </w:rPr>
        <w:t>年的，将其基本养老保险关系及相应资金归集到户籍所在地，由户籍所在地按规定办理待遇领取手续，享受基本养老保险待遇。</w:t>
      </w:r>
    </w:p>
    <w:p>
      <w:pPr>
        <w:spacing w:line="390" w:lineRule="exact"/>
        <w:ind w:firstLine="440" w:firstLineChars="200"/>
        <w:rPr>
          <w:rFonts w:ascii="方正仿宋_GBK" w:eastAsia="方正仿宋_GBK"/>
          <w:sz w:val="22"/>
          <w:szCs w:val="28"/>
        </w:rPr>
      </w:pPr>
      <w:r>
        <w:rPr>
          <w:rFonts w:hint="eastAsia" w:ascii="方正仿宋_GBK" w:eastAsia="方正仿宋_GBK"/>
          <w:sz w:val="22"/>
          <w:szCs w:val="28"/>
        </w:rPr>
        <w:t>二、 《江苏省企业职工基本养老保险实施办法》（苏人社规〔</w:t>
      </w:r>
      <w:r>
        <w:rPr>
          <w:rFonts w:eastAsia="方正仿宋_GBK"/>
          <w:sz w:val="22"/>
          <w:szCs w:val="28"/>
        </w:rPr>
        <w:t>2024</w:t>
      </w:r>
      <w:r>
        <w:rPr>
          <w:rFonts w:hint="eastAsia" w:ascii="方正仿宋_GBK" w:eastAsia="方正仿宋_GBK"/>
          <w:sz w:val="22"/>
          <w:szCs w:val="28"/>
        </w:rPr>
        <w:t>〕</w:t>
      </w:r>
      <w:r>
        <w:rPr>
          <w:rFonts w:eastAsia="方正仿宋_GBK"/>
          <w:sz w:val="22"/>
          <w:szCs w:val="28"/>
        </w:rPr>
        <w:t>1</w:t>
      </w:r>
      <w:r>
        <w:rPr>
          <w:rFonts w:hint="eastAsia" w:ascii="方正仿宋_GBK" w:eastAsia="方正仿宋_GBK"/>
          <w:sz w:val="22"/>
          <w:szCs w:val="28"/>
        </w:rPr>
        <w:t>号）第十条：跨省流动就业的参保人员达到待遇领取条件时，按照国家有关规定确定其待遇领取地。</w:t>
      </w:r>
    </w:p>
    <w:p>
      <w:pPr>
        <w:spacing w:line="390" w:lineRule="exact"/>
        <w:ind w:firstLine="440" w:firstLineChars="200"/>
        <w:rPr>
          <w:rFonts w:ascii="方正仿宋_GBK" w:eastAsia="方正仿宋_GBK"/>
          <w:sz w:val="22"/>
          <w:szCs w:val="28"/>
        </w:rPr>
      </w:pPr>
      <w:r>
        <w:rPr>
          <w:rFonts w:hint="eastAsia" w:ascii="方正仿宋_GBK" w:eastAsia="方正仿宋_GBK"/>
          <w:sz w:val="22"/>
          <w:szCs w:val="28"/>
        </w:rPr>
        <w:t>省内跨地区流动就业的参保人员达到待遇领取条件时，以设区市市区、县（市）为单位，参照国家和省有关待遇领取地的规定确定其待遇领取地。</w:t>
      </w:r>
    </w:p>
    <w:p>
      <w:pPr>
        <w:spacing w:line="390" w:lineRule="exact"/>
        <w:ind w:firstLine="440" w:firstLineChars="200"/>
        <w:rPr>
          <w:rFonts w:ascii="方正仿宋_GBK" w:eastAsia="方正仿宋_GBK"/>
          <w:sz w:val="22"/>
          <w:szCs w:val="28"/>
        </w:rPr>
      </w:pPr>
      <w:r>
        <w:rPr>
          <w:rFonts w:hint="eastAsia" w:ascii="方正仿宋_GBK" w:eastAsia="方正仿宋_GBK"/>
          <w:sz w:val="22"/>
          <w:szCs w:val="28"/>
        </w:rPr>
        <w:t>外省户籍参保人员待遇领取地确定在我省，且在我省各地缴费年限均不满</w:t>
      </w:r>
      <w:r>
        <w:rPr>
          <w:rFonts w:eastAsia="方正仿宋_GBK"/>
          <w:sz w:val="22"/>
          <w:szCs w:val="28"/>
        </w:rPr>
        <w:t>10</w:t>
      </w:r>
      <w:r>
        <w:rPr>
          <w:rFonts w:hint="eastAsia" w:ascii="方正仿宋_GBK" w:eastAsia="方正仿宋_GBK"/>
          <w:sz w:val="22"/>
          <w:szCs w:val="28"/>
        </w:rPr>
        <w:t>年的，以在我省缴费年限最长地为待遇领取地，缴费年限最长地有两个及以上的，以最后一个缴费年限最长地为待遇领取地。</w:t>
      </w:r>
    </w:p>
    <w:p>
      <w:pPr>
        <w:spacing w:line="390" w:lineRule="exact"/>
        <w:ind w:firstLine="440" w:firstLineChars="200"/>
        <w:rPr>
          <w:rFonts w:ascii="方正仿宋_GBK" w:eastAsia="方正仿宋_GBK"/>
          <w:sz w:val="22"/>
          <w:szCs w:val="28"/>
        </w:rPr>
      </w:pPr>
      <w:r>
        <w:rPr>
          <w:rFonts w:hint="eastAsia" w:ascii="方正仿宋_GBK" w:eastAsia="方正仿宋_GBK"/>
          <w:sz w:val="22"/>
          <w:szCs w:val="28"/>
        </w:rPr>
        <w:t>流动就业的参保人员达到法定退休年龄时，待遇领取地确定在我省且累计缴费不满国家规定最低缴费年限的，延缴地为待遇领取地。</w:t>
      </w:r>
    </w:p>
    <w:p>
      <w:pPr>
        <w:spacing w:line="390" w:lineRule="exact"/>
        <w:ind w:firstLine="440" w:firstLineChars="200"/>
        <w:rPr>
          <w:rFonts w:ascii="方正仿宋_GBK" w:hAnsi="等线" w:eastAsia="方正仿宋_GBK"/>
          <w:sz w:val="22"/>
          <w:szCs w:val="28"/>
        </w:rPr>
      </w:pPr>
      <w:r>
        <w:rPr>
          <w:rFonts w:hint="eastAsia" w:ascii="方正仿宋_GBK" w:eastAsia="方正仿宋_GBK"/>
          <w:sz w:val="22"/>
          <w:szCs w:val="28"/>
        </w:rPr>
        <w:t>三、《江苏省企业职工基本养老保险实施办法》（苏人社规〔</w:t>
      </w:r>
      <w:r>
        <w:rPr>
          <w:rFonts w:eastAsia="方正仿宋_GBK"/>
          <w:sz w:val="22"/>
          <w:szCs w:val="28"/>
        </w:rPr>
        <w:t>2024</w:t>
      </w:r>
      <w:r>
        <w:rPr>
          <w:rFonts w:hint="eastAsia" w:ascii="方正仿宋_GBK" w:eastAsia="方正仿宋_GBK"/>
          <w:sz w:val="22"/>
          <w:szCs w:val="28"/>
        </w:rPr>
        <w:t>〕</w:t>
      </w:r>
      <w:r>
        <w:rPr>
          <w:rFonts w:eastAsia="方正仿宋_GBK"/>
          <w:sz w:val="22"/>
          <w:szCs w:val="28"/>
        </w:rPr>
        <w:t>1</w:t>
      </w:r>
      <w:r>
        <w:rPr>
          <w:rFonts w:hint="eastAsia" w:ascii="方正仿宋_GBK" w:eastAsia="方正仿宋_GBK"/>
          <w:sz w:val="22"/>
          <w:szCs w:val="28"/>
        </w:rPr>
        <w:t>号）第十二条：参保人员退休年龄按照《国务院关于渐进式延迟法定退休年龄的办法》等确定。 其中，原法定退休年龄（原领取基本养老金年龄）为男满</w:t>
      </w:r>
      <w:r>
        <w:rPr>
          <w:rFonts w:eastAsia="方正仿宋_GBK"/>
          <w:sz w:val="22"/>
          <w:szCs w:val="28"/>
        </w:rPr>
        <w:t>60</w:t>
      </w:r>
      <w:r>
        <w:rPr>
          <w:rFonts w:hint="eastAsia" w:ascii="方正仿宋_GBK" w:eastAsia="方正仿宋_GBK"/>
          <w:sz w:val="22"/>
          <w:szCs w:val="28"/>
        </w:rPr>
        <w:t>周岁、女干部满</w:t>
      </w:r>
      <w:r>
        <w:rPr>
          <w:rFonts w:eastAsia="方正仿宋_GBK"/>
          <w:sz w:val="22"/>
          <w:szCs w:val="28"/>
        </w:rPr>
        <w:t>55</w:t>
      </w:r>
      <w:r>
        <w:rPr>
          <w:rFonts w:hint="eastAsia" w:ascii="方正仿宋_GBK" w:eastAsia="方正仿宋_GBK"/>
          <w:sz w:val="22"/>
          <w:szCs w:val="28"/>
        </w:rPr>
        <w:t>周岁、女工人满</w:t>
      </w:r>
      <w:r>
        <w:rPr>
          <w:rFonts w:eastAsia="方正仿宋_GBK"/>
          <w:sz w:val="22"/>
          <w:szCs w:val="28"/>
        </w:rPr>
        <w:t>50</w:t>
      </w:r>
      <w:r>
        <w:rPr>
          <w:rFonts w:hint="eastAsia" w:ascii="方正仿宋_GBK" w:eastAsia="方正仿宋_GBK"/>
          <w:sz w:val="22"/>
          <w:szCs w:val="28"/>
        </w:rPr>
        <w:t>周岁、女灵活就业人员满</w:t>
      </w:r>
      <w:r>
        <w:rPr>
          <w:rFonts w:eastAsia="方正仿宋_GBK"/>
          <w:sz w:val="22"/>
          <w:szCs w:val="28"/>
        </w:rPr>
        <w:t>55</w:t>
      </w:r>
      <w:r>
        <w:rPr>
          <w:rFonts w:hint="eastAsia" w:ascii="方正仿宋_GBK" w:eastAsia="方正仿宋_GBK"/>
          <w:sz w:val="22"/>
          <w:szCs w:val="28"/>
        </w:rPr>
        <w:t xml:space="preserve">周岁，以下情形从其特殊规定: </w:t>
      </w:r>
    </w:p>
    <w:p>
      <w:pPr>
        <w:spacing w:line="390" w:lineRule="exact"/>
        <w:ind w:firstLine="440" w:firstLineChars="200"/>
        <w:rPr>
          <w:rFonts w:ascii="方正仿宋_GBK" w:eastAsia="方正仿宋_GBK"/>
          <w:sz w:val="22"/>
          <w:szCs w:val="28"/>
        </w:rPr>
      </w:pPr>
      <w:r>
        <w:rPr>
          <w:rFonts w:hint="eastAsia" w:ascii="方正仿宋_GBK" w:eastAsia="方正仿宋_GBK"/>
          <w:sz w:val="22"/>
          <w:szCs w:val="28"/>
        </w:rPr>
        <w:t>（一）女工人，</w:t>
      </w:r>
      <w:r>
        <w:rPr>
          <w:rFonts w:eastAsia="方正仿宋_GBK"/>
          <w:sz w:val="22"/>
          <w:szCs w:val="28"/>
        </w:rPr>
        <w:t>50</w:t>
      </w:r>
      <w:r>
        <w:rPr>
          <w:rFonts w:hint="eastAsia" w:ascii="方正仿宋_GBK" w:eastAsia="方正仿宋_GBK"/>
          <w:sz w:val="22"/>
          <w:szCs w:val="28"/>
        </w:rPr>
        <w:t>周岁时在管理技术岗位上工作，或者在管理技术岗位上工作累计满</w:t>
      </w:r>
      <w:r>
        <w:rPr>
          <w:rFonts w:eastAsia="方正仿宋_GBK"/>
          <w:sz w:val="22"/>
          <w:szCs w:val="28"/>
        </w:rPr>
        <w:t>5</w:t>
      </w:r>
      <w:r>
        <w:rPr>
          <w:rFonts w:hint="eastAsia" w:ascii="方正仿宋_GBK" w:eastAsia="方正仿宋_GBK"/>
          <w:sz w:val="22"/>
          <w:szCs w:val="28"/>
        </w:rPr>
        <w:t>年且</w:t>
      </w:r>
      <w:r>
        <w:rPr>
          <w:rFonts w:eastAsia="方正仿宋_GBK"/>
          <w:sz w:val="22"/>
          <w:szCs w:val="28"/>
        </w:rPr>
        <w:t>45</w:t>
      </w:r>
      <w:r>
        <w:rPr>
          <w:rFonts w:hint="eastAsia" w:ascii="方正仿宋_GBK" w:eastAsia="方正仿宋_GBK"/>
          <w:sz w:val="22"/>
          <w:szCs w:val="28"/>
        </w:rPr>
        <w:t>周岁后在管理技术岗位上工作过的，原法定退休年龄按</w:t>
      </w:r>
      <w:r>
        <w:rPr>
          <w:rFonts w:eastAsia="方正仿宋_GBK"/>
          <w:sz w:val="22"/>
          <w:szCs w:val="28"/>
        </w:rPr>
        <w:t>55</w:t>
      </w:r>
      <w:r>
        <w:rPr>
          <w:rFonts w:hint="eastAsia" w:ascii="方正仿宋_GBK" w:eastAsia="方正仿宋_GBK"/>
          <w:sz w:val="22"/>
          <w:szCs w:val="28"/>
        </w:rPr>
        <w:t>周岁执行。</w:t>
      </w:r>
    </w:p>
    <w:p>
      <w:pPr>
        <w:spacing w:line="390" w:lineRule="exact"/>
        <w:ind w:firstLine="440" w:firstLineChars="200"/>
        <w:rPr>
          <w:rFonts w:ascii="方正仿宋_GBK" w:eastAsia="方正仿宋_GBK"/>
          <w:sz w:val="22"/>
          <w:szCs w:val="28"/>
        </w:rPr>
      </w:pPr>
      <w:r>
        <w:rPr>
          <w:rFonts w:hint="eastAsia" w:ascii="方正仿宋_GBK" w:eastAsia="方正仿宋_GBK"/>
          <w:sz w:val="22"/>
          <w:szCs w:val="28"/>
        </w:rPr>
        <w:t>（二）女灵活就业参保人员和女失业人员，曾为实行劳动合同制之前参加工作的原固定工的，或者原在国有企业工人岗位上工作且在原劳动保障部劳社部发〔</w:t>
      </w:r>
      <w:r>
        <w:rPr>
          <w:rFonts w:eastAsia="方正仿宋_GBK"/>
          <w:sz w:val="22"/>
          <w:szCs w:val="28"/>
        </w:rPr>
        <w:t>2001</w:t>
      </w:r>
      <w:r>
        <w:rPr>
          <w:rFonts w:hint="eastAsia" w:ascii="方正仿宋_GBK" w:eastAsia="方正仿宋_GBK"/>
          <w:sz w:val="22"/>
          <w:szCs w:val="28"/>
        </w:rPr>
        <w:t>〕</w:t>
      </w:r>
      <w:r>
        <w:rPr>
          <w:rFonts w:eastAsia="方正仿宋_GBK"/>
          <w:sz w:val="22"/>
          <w:szCs w:val="28"/>
        </w:rPr>
        <w:t>20</w:t>
      </w:r>
      <w:r>
        <w:rPr>
          <w:rFonts w:hint="eastAsia" w:ascii="方正仿宋_GBK" w:eastAsia="方正仿宋_GBK"/>
          <w:sz w:val="22"/>
          <w:szCs w:val="28"/>
        </w:rPr>
        <w:t>号文件下发之前依法解除劳动关系的，或者</w:t>
      </w:r>
      <w:r>
        <w:rPr>
          <w:rFonts w:eastAsia="方正仿宋_GBK"/>
          <w:sz w:val="22"/>
          <w:szCs w:val="28"/>
        </w:rPr>
        <w:t>50</w:t>
      </w:r>
      <w:r>
        <w:rPr>
          <w:rFonts w:hint="eastAsia" w:ascii="方正仿宋_GBK" w:eastAsia="方正仿宋_GBK"/>
          <w:sz w:val="22"/>
          <w:szCs w:val="28"/>
        </w:rPr>
        <w:t>周岁时其曾在用人单位工人岗位上的视同缴费年限和实际缴费年限合计满</w:t>
      </w:r>
      <w:r>
        <w:rPr>
          <w:rFonts w:eastAsia="方正仿宋_GBK"/>
          <w:sz w:val="22"/>
          <w:szCs w:val="28"/>
        </w:rPr>
        <w:t>15</w:t>
      </w:r>
      <w:r>
        <w:rPr>
          <w:rFonts w:hint="eastAsia" w:ascii="方正仿宋_GBK" w:eastAsia="方正仿宋_GBK"/>
          <w:sz w:val="22"/>
          <w:szCs w:val="28"/>
        </w:rPr>
        <w:t>年的，原领取基本养老金年龄按</w:t>
      </w:r>
      <w:r>
        <w:rPr>
          <w:rFonts w:eastAsia="方正仿宋_GBK"/>
          <w:sz w:val="22"/>
          <w:szCs w:val="28"/>
        </w:rPr>
        <w:t>50</w:t>
      </w:r>
      <w:r>
        <w:rPr>
          <w:rFonts w:hint="eastAsia" w:ascii="方正仿宋_GBK" w:eastAsia="方正仿宋_GBK"/>
          <w:sz w:val="22"/>
          <w:szCs w:val="28"/>
        </w:rPr>
        <w:t>周岁执行。不符合上述规定的女失业人员，原领取基本养老金年龄按</w:t>
      </w:r>
      <w:r>
        <w:rPr>
          <w:rFonts w:eastAsia="方正仿宋_GBK"/>
          <w:sz w:val="22"/>
          <w:szCs w:val="28"/>
        </w:rPr>
        <w:t xml:space="preserve">55 </w:t>
      </w:r>
      <w:r>
        <w:rPr>
          <w:rFonts w:hint="eastAsia" w:ascii="方正仿宋_GBK" w:eastAsia="方正仿宋_GBK"/>
          <w:sz w:val="22"/>
          <w:szCs w:val="28"/>
        </w:rPr>
        <w:t>周岁执行。</w:t>
      </w:r>
    </w:p>
    <w:p>
      <w:pPr>
        <w:spacing w:line="390" w:lineRule="exact"/>
        <w:rPr>
          <w:rFonts w:eastAsia="仿宋_GB2312"/>
          <w:sz w:val="28"/>
          <w:szCs w:val="28"/>
        </w:rPr>
      </w:pPr>
    </w:p>
    <w:sectPr>
      <w:pgSz w:w="11906" w:h="16838"/>
      <w:pgMar w:top="1134" w:right="1588" w:bottom="1474" w:left="1588" w:header="851" w:footer="992" w:gutter="0"/>
      <w:cols w:space="720" w:num="1"/>
      <w:docGrid w:type="linesAndChar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Segoe UI">
    <w:altName w:val="Noto Music"/>
    <w:panose1 w:val="020B0502040204020203"/>
    <w:charset w:val="00"/>
    <w:family w:val="swiss"/>
    <w:pitch w:val="default"/>
    <w:sig w:usb0="00000000" w:usb1="00000000"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Noto Music">
    <w:panose1 w:val="020B0502040504020204"/>
    <w:charset w:val="00"/>
    <w:family w:val="auto"/>
    <w:pitch w:val="default"/>
    <w:sig w:usb0="00000003" w:usb1="02006000" w:usb2="01000000" w:usb3="00000000" w:csb0="0000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HorizontalSpacing w:val="105"/>
  <w:drawingGridVerticalSpacing w:val="323"/>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1B9"/>
    <w:rsid w:val="00031D86"/>
    <w:rsid w:val="00033F9E"/>
    <w:rsid w:val="000503D5"/>
    <w:rsid w:val="00051F2C"/>
    <w:rsid w:val="000A6473"/>
    <w:rsid w:val="000D1732"/>
    <w:rsid w:val="000D6E4E"/>
    <w:rsid w:val="000D787B"/>
    <w:rsid w:val="000E484C"/>
    <w:rsid w:val="00116F55"/>
    <w:rsid w:val="001224F3"/>
    <w:rsid w:val="0015514E"/>
    <w:rsid w:val="00163EF9"/>
    <w:rsid w:val="001B3676"/>
    <w:rsid w:val="001E6942"/>
    <w:rsid w:val="00212C2F"/>
    <w:rsid w:val="00214848"/>
    <w:rsid w:val="00236742"/>
    <w:rsid w:val="00242BE5"/>
    <w:rsid w:val="00286D96"/>
    <w:rsid w:val="0029046C"/>
    <w:rsid w:val="0031663A"/>
    <w:rsid w:val="00325949"/>
    <w:rsid w:val="00364B55"/>
    <w:rsid w:val="00386382"/>
    <w:rsid w:val="00397280"/>
    <w:rsid w:val="00397FA1"/>
    <w:rsid w:val="003A022E"/>
    <w:rsid w:val="003C5A78"/>
    <w:rsid w:val="003F1CD5"/>
    <w:rsid w:val="003F2A57"/>
    <w:rsid w:val="00417EE5"/>
    <w:rsid w:val="0042694D"/>
    <w:rsid w:val="0044685A"/>
    <w:rsid w:val="00453008"/>
    <w:rsid w:val="00473A4D"/>
    <w:rsid w:val="00477173"/>
    <w:rsid w:val="004A019A"/>
    <w:rsid w:val="004A136E"/>
    <w:rsid w:val="004A64F7"/>
    <w:rsid w:val="004C7EB8"/>
    <w:rsid w:val="004D643E"/>
    <w:rsid w:val="004F3EEB"/>
    <w:rsid w:val="0050753E"/>
    <w:rsid w:val="00511767"/>
    <w:rsid w:val="005170A2"/>
    <w:rsid w:val="005240A7"/>
    <w:rsid w:val="005510B0"/>
    <w:rsid w:val="005617EE"/>
    <w:rsid w:val="00587C9F"/>
    <w:rsid w:val="005A11EA"/>
    <w:rsid w:val="005A1D6D"/>
    <w:rsid w:val="005B70CC"/>
    <w:rsid w:val="005D635A"/>
    <w:rsid w:val="005F505D"/>
    <w:rsid w:val="005F72C7"/>
    <w:rsid w:val="0061257A"/>
    <w:rsid w:val="00644425"/>
    <w:rsid w:val="00660834"/>
    <w:rsid w:val="006C2A89"/>
    <w:rsid w:val="006D29CE"/>
    <w:rsid w:val="006E5712"/>
    <w:rsid w:val="00716778"/>
    <w:rsid w:val="00720892"/>
    <w:rsid w:val="0073707E"/>
    <w:rsid w:val="007621B9"/>
    <w:rsid w:val="007A0FE5"/>
    <w:rsid w:val="007B254F"/>
    <w:rsid w:val="007B269E"/>
    <w:rsid w:val="007B293F"/>
    <w:rsid w:val="007B6ECA"/>
    <w:rsid w:val="007F0404"/>
    <w:rsid w:val="0080112F"/>
    <w:rsid w:val="0084566F"/>
    <w:rsid w:val="008573B0"/>
    <w:rsid w:val="00861B99"/>
    <w:rsid w:val="008651FB"/>
    <w:rsid w:val="0088213D"/>
    <w:rsid w:val="00895226"/>
    <w:rsid w:val="00895CFC"/>
    <w:rsid w:val="008A7F51"/>
    <w:rsid w:val="008D5F93"/>
    <w:rsid w:val="008F0564"/>
    <w:rsid w:val="009374BB"/>
    <w:rsid w:val="00957CEC"/>
    <w:rsid w:val="00975699"/>
    <w:rsid w:val="009C11BD"/>
    <w:rsid w:val="009D1A6A"/>
    <w:rsid w:val="009D7C96"/>
    <w:rsid w:val="009F625F"/>
    <w:rsid w:val="00A10E15"/>
    <w:rsid w:val="00A32C4C"/>
    <w:rsid w:val="00A33AF8"/>
    <w:rsid w:val="00A33F62"/>
    <w:rsid w:val="00A42971"/>
    <w:rsid w:val="00A56EC7"/>
    <w:rsid w:val="00A61FDA"/>
    <w:rsid w:val="00AD0192"/>
    <w:rsid w:val="00AF4266"/>
    <w:rsid w:val="00B02D57"/>
    <w:rsid w:val="00B1171E"/>
    <w:rsid w:val="00B45E25"/>
    <w:rsid w:val="00B72A25"/>
    <w:rsid w:val="00BD62BA"/>
    <w:rsid w:val="00BE3B2D"/>
    <w:rsid w:val="00C21E9E"/>
    <w:rsid w:val="00C34F09"/>
    <w:rsid w:val="00C512B5"/>
    <w:rsid w:val="00C750B3"/>
    <w:rsid w:val="00CD4940"/>
    <w:rsid w:val="00D30227"/>
    <w:rsid w:val="00D30C79"/>
    <w:rsid w:val="00D77389"/>
    <w:rsid w:val="00D95170"/>
    <w:rsid w:val="00DC0BEF"/>
    <w:rsid w:val="00DD59A9"/>
    <w:rsid w:val="00E55567"/>
    <w:rsid w:val="00E607CC"/>
    <w:rsid w:val="00E767B5"/>
    <w:rsid w:val="00E9654A"/>
    <w:rsid w:val="00EA3A6D"/>
    <w:rsid w:val="00EC071F"/>
    <w:rsid w:val="00ED3767"/>
    <w:rsid w:val="00ED5AD4"/>
    <w:rsid w:val="00F15319"/>
    <w:rsid w:val="00F6320B"/>
    <w:rsid w:val="00FB6D13"/>
    <w:rsid w:val="00FE2954"/>
    <w:rsid w:val="0753028E"/>
    <w:rsid w:val="08357124"/>
    <w:rsid w:val="0F0C28E5"/>
    <w:rsid w:val="0F34183C"/>
    <w:rsid w:val="1AD97FAE"/>
    <w:rsid w:val="29713632"/>
    <w:rsid w:val="30321EAB"/>
    <w:rsid w:val="32F54727"/>
    <w:rsid w:val="340A69EA"/>
    <w:rsid w:val="381C0DEB"/>
    <w:rsid w:val="3E713EA3"/>
    <w:rsid w:val="4AF20F8C"/>
    <w:rsid w:val="4FB5045F"/>
    <w:rsid w:val="5E6B0DB0"/>
    <w:rsid w:val="6CAD55DF"/>
    <w:rsid w:val="79674A9D"/>
    <w:rsid w:val="79FC4D8E"/>
    <w:rsid w:val="7F996859"/>
    <w:rsid w:val="7FBFC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semiHidden/>
    <w:qFormat/>
    <w:uiPriority w:val="0"/>
    <w:rPr>
      <w:sz w:val="18"/>
      <w:szCs w:val="18"/>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7"/>
    <w:qFormat/>
    <w:uiPriority w:val="0"/>
    <w:rPr>
      <w:rFonts w:ascii="Courier New" w:hAnsi="Courier New" w:cs="Courier New"/>
      <w:sz w:val="20"/>
      <w:szCs w:val="20"/>
    </w:rPr>
  </w:style>
  <w:style w:type="paragraph" w:styleId="6">
    <w:name w:val="Normal (Web)"/>
    <w:basedOn w:val="1"/>
    <w:qFormat/>
    <w:uiPriority w:val="0"/>
    <w:rPr>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qFormat/>
    <w:uiPriority w:val="99"/>
    <w:rPr>
      <w:color w:val="0000FF"/>
      <w:u w:val="single"/>
    </w:rPr>
  </w:style>
  <w:style w:type="character" w:customStyle="1" w:styleId="12">
    <w:name w:val="font61"/>
    <w:qFormat/>
    <w:uiPriority w:val="0"/>
    <w:rPr>
      <w:rFonts w:hint="eastAsia" w:ascii="宋体" w:hAnsi="宋体" w:eastAsia="宋体" w:cs="宋体"/>
      <w:color w:val="000000"/>
      <w:sz w:val="22"/>
      <w:szCs w:val="22"/>
      <w:u w:val="none"/>
    </w:rPr>
  </w:style>
  <w:style w:type="character" w:customStyle="1" w:styleId="13">
    <w:name w:val="页眉 Char"/>
    <w:link w:val="4"/>
    <w:qFormat/>
    <w:uiPriority w:val="99"/>
    <w:rPr>
      <w:sz w:val="18"/>
      <w:szCs w:val="18"/>
    </w:rPr>
  </w:style>
  <w:style w:type="character" w:customStyle="1" w:styleId="14">
    <w:name w:val="font41"/>
    <w:qFormat/>
    <w:uiPriority w:val="0"/>
    <w:rPr>
      <w:rFonts w:hint="eastAsia" w:ascii="宋体" w:hAnsi="宋体" w:eastAsia="宋体" w:cs="宋体"/>
      <w:color w:val="000000"/>
      <w:sz w:val="22"/>
      <w:szCs w:val="22"/>
      <w:u w:val="none"/>
    </w:rPr>
  </w:style>
  <w:style w:type="character" w:customStyle="1" w:styleId="15">
    <w:name w:val="页脚 Char"/>
    <w:link w:val="3"/>
    <w:qFormat/>
    <w:uiPriority w:val="99"/>
    <w:rPr>
      <w:sz w:val="18"/>
      <w:szCs w:val="18"/>
    </w:rPr>
  </w:style>
  <w:style w:type="character" w:customStyle="1" w:styleId="16">
    <w:name w:val="批注框文本 Char"/>
    <w:basedOn w:val="9"/>
    <w:link w:val="2"/>
    <w:semiHidden/>
    <w:qFormat/>
    <w:uiPriority w:val="0"/>
    <w:rPr>
      <w:kern w:val="2"/>
      <w:sz w:val="18"/>
      <w:szCs w:val="18"/>
    </w:rPr>
  </w:style>
  <w:style w:type="character" w:customStyle="1" w:styleId="17">
    <w:name w:val="HTML 预设格式 Char"/>
    <w:basedOn w:val="9"/>
    <w:link w:val="5"/>
    <w:qFormat/>
    <w:uiPriority w:val="0"/>
    <w:rPr>
      <w:rFonts w:ascii="Courier New" w:hAnsi="Courier New" w:cs="Courier New"/>
      <w:kern w:val="2"/>
    </w:rPr>
  </w:style>
  <w:style w:type="paragraph" w:customStyle="1" w:styleId="1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2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1">
    <w:name w:val="xl69"/>
    <w:basedOn w:val="1"/>
    <w:qFormat/>
    <w:uiPriority w:val="0"/>
    <w:pPr>
      <w:widowControl/>
      <w:shd w:val="clear" w:color="000000" w:fill="FFFFFF"/>
      <w:spacing w:before="100" w:beforeAutospacing="1" w:after="100" w:afterAutospacing="1"/>
      <w:jc w:val="center"/>
    </w:pPr>
    <w:rPr>
      <w:rFonts w:ascii="宋体" w:hAnsi="宋体" w:cs="宋体"/>
      <w:kern w:val="0"/>
      <w:sz w:val="24"/>
      <w:szCs w:val="24"/>
    </w:rPr>
  </w:style>
  <w:style w:type="paragraph" w:customStyle="1" w:styleId="22">
    <w:name w:val="xl70"/>
    <w:basedOn w:val="1"/>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3">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24">
    <w:name w:val="xl72"/>
    <w:basedOn w:val="1"/>
    <w:qFormat/>
    <w:uiPriority w:val="0"/>
    <w:pPr>
      <w:widowControl/>
      <w:pBdr>
        <w:bottom w:val="single" w:color="auto" w:sz="4" w:space="0"/>
      </w:pBdr>
      <w:shd w:val="clear" w:color="000000" w:fill="FFFFFF"/>
      <w:spacing w:before="100" w:beforeAutospacing="1" w:after="100" w:afterAutospacing="1"/>
      <w:jc w:val="center"/>
    </w:pPr>
    <w:rPr>
      <w:rFonts w:ascii="宋体" w:hAnsi="宋体" w:cs="宋体"/>
      <w:b/>
      <w:bCs/>
      <w:kern w:val="0"/>
      <w:sz w:val="28"/>
      <w:szCs w:val="2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Segoe UI" w:hAnsi="Segoe UI" w:cs="Segoe UI"/>
      <w:b/>
      <w:bCs/>
      <w:kern w:val="0"/>
      <w:sz w:val="18"/>
      <w:szCs w:val="18"/>
    </w:rPr>
  </w:style>
  <w:style w:type="paragraph" w:customStyle="1" w:styleId="2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3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Pages>
  <Words>209</Words>
  <Characters>1197</Characters>
  <Lines>9</Lines>
  <Paragraphs>2</Paragraphs>
  <TotalTime>3</TotalTime>
  <ScaleCrop>false</ScaleCrop>
  <LinksUpToDate>false</LinksUpToDate>
  <CharactersWithSpaces>1404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2025-07-28T09:19:00Z</dcterms:created>
  <dc:creator>lenvov</dc:creator>
  <cp:lastModifiedBy>casic</cp:lastModifiedBy>
  <cp:lastPrinted>2025-06-26T12:47:00Z</cp:lastPrinted>
  <dcterms:modified xsi:type="dcterms:W3CDTF">2025-07-28T17:46:44Z</dcterms:modified>
  <dc:title>关于参保职工暂停缴纳社会保险费的通知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4E6F404FA0F54200BE8EC67C95AF97EF_12</vt:lpwstr>
  </property>
</Properties>
</file>