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00" w:lineRule="auto"/>
        <w:ind w:firstLine="0" w:firstLineChars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市人社局重大执法决定法制审核目录清单</w:t>
      </w:r>
      <w:bookmarkEnd w:id="0"/>
    </w:p>
    <w:tbl>
      <w:tblPr>
        <w:tblStyle w:val="2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389"/>
        <w:gridCol w:w="2336"/>
        <w:gridCol w:w="13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重大执法决定事项名称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权力类别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行政执法主体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对法人及其他组织处以5万元及以上罚款的行政处罚决定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《行政处罚法》、《劳动保障监察条例》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吊销许可证的行政处罚决定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《行政处罚法》、《劳动保障监察条例》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责令停业、关闭、停止办学的行政处罚决定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《行政处罚法》、《职业教育法》、《劳动保障监察条例》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对使用童工2名及以上的违法行为作出的行政处罚决定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《劳动法》、《行政处罚法》、《禁止使用童工规定》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其他需要依法履行听证程序的行政处罚、行政处理决定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《行政处罚法》、《劳动保障监察条例》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行政处罚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行政处理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市人社局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ljMDg1NjEzNzY3NWY3M2MzYzFiODE5NjM4ZTQifQ=="/>
  </w:docVars>
  <w:rsids>
    <w:rsidRoot w:val="081C6146"/>
    <w:rsid w:val="081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2024-03-27T06:43:00Z</dcterms:created>
  <dc:creator>天下布武</dc:creator>
  <cp:lastModifiedBy>天下布武</cp:lastModifiedBy>
  <dcterms:modified xsi:type="dcterms:W3CDTF">2024-03-27T06:43:28Z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46EA83E31B0F464BB2DD54F87626DAC2_11</vt:lpwstr>
  </property>
</Properties>
</file>